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Lines="50"/>
        <w:jc w:val="center"/>
        <w:rPr>
          <w:rFonts w:ascii="黑体" w:eastAsia="黑体"/>
          <w:sz w:val="36"/>
          <w:szCs w:val="36"/>
        </w:rPr>
      </w:pPr>
      <w:r>
        <w:rPr>
          <w:rFonts w:hint="eastAsia" w:ascii="黑体" w:eastAsia="黑体"/>
          <w:sz w:val="36"/>
          <w:szCs w:val="36"/>
        </w:rPr>
        <w:t>电子信息学院管理团队绩效考核办法</w:t>
      </w:r>
    </w:p>
    <w:p>
      <w:pPr>
        <w:spacing w:line="500" w:lineRule="exact"/>
        <w:ind w:firstLine="560" w:firstLineChars="200"/>
        <w:rPr>
          <w:rFonts w:ascii="宋体" w:hAnsi="宋体" w:eastAsia="宋体"/>
          <w:szCs w:val="28"/>
        </w:rPr>
      </w:pPr>
      <w:r>
        <w:rPr>
          <w:rFonts w:hint="eastAsia" w:hAnsi="宋体"/>
          <w:szCs w:val="28"/>
        </w:rPr>
        <w:t>为加强学院管理队伍建设</w:t>
      </w:r>
      <w:r>
        <w:rPr>
          <w:rFonts w:hint="eastAsia"/>
          <w:szCs w:val="28"/>
        </w:rPr>
        <w:t>，</w:t>
      </w:r>
      <w:r>
        <w:rPr>
          <w:rFonts w:hint="eastAsia" w:hAnsi="宋体"/>
          <w:szCs w:val="28"/>
        </w:rPr>
        <w:t>强化管理和服务职能，提升岗位履职能力和责任意识，进一步推行和完善学院管理团队绩效考核，深化教职工年度考核工作，特制订本办法。</w:t>
      </w:r>
    </w:p>
    <w:p>
      <w:pPr>
        <w:spacing w:line="500" w:lineRule="exact"/>
        <w:ind w:firstLine="560" w:firstLineChars="200"/>
        <w:rPr>
          <w:rFonts w:hAnsi="宋体"/>
          <w:szCs w:val="28"/>
        </w:rPr>
      </w:pPr>
      <w:r>
        <w:rPr>
          <w:rFonts w:hint="eastAsia" w:hAnsi="宋体"/>
          <w:szCs w:val="28"/>
        </w:rPr>
        <w:t>第一条</w:t>
      </w:r>
      <w:r>
        <w:rPr>
          <w:rFonts w:hint="eastAsia" w:hAnsi="宋体"/>
          <w:szCs w:val="28"/>
          <w:lang w:val="en-US" w:eastAsia="zh-CN"/>
        </w:rPr>
        <w:t xml:space="preserve">  </w:t>
      </w:r>
      <w:r>
        <w:rPr>
          <w:rFonts w:hint="eastAsia" w:hAnsi="宋体"/>
          <w:szCs w:val="28"/>
        </w:rPr>
        <w:t>按照各分管副院职领导的岗位分工，将学院管理队伍分为六个团队。在学院每年度教代会上，由分管领导代表团队进行年度工作述职，并接受教职工代表的书面考评，考评结果作为团队工作绩效考核的重要依据。</w:t>
      </w:r>
    </w:p>
    <w:p>
      <w:pPr>
        <w:spacing w:line="500" w:lineRule="exact"/>
        <w:ind w:firstLine="560" w:firstLineChars="200"/>
        <w:rPr>
          <w:rFonts w:hAnsi="宋体"/>
          <w:szCs w:val="28"/>
        </w:rPr>
      </w:pPr>
      <w:r>
        <w:rPr>
          <w:rFonts w:hint="eastAsia" w:hAnsi="宋体"/>
          <w:szCs w:val="28"/>
        </w:rPr>
        <w:t>第二条</w:t>
      </w:r>
      <w:r>
        <w:rPr>
          <w:rFonts w:hint="eastAsia" w:hAnsi="宋体"/>
          <w:szCs w:val="28"/>
          <w:lang w:val="en-US" w:eastAsia="zh-CN"/>
        </w:rPr>
        <w:t xml:space="preserve">  </w:t>
      </w:r>
      <w:r>
        <w:rPr>
          <w:rFonts w:hint="eastAsia" w:hAnsi="宋体"/>
          <w:szCs w:val="28"/>
        </w:rPr>
        <w:t>院党政联席会议根据教职工书面考评的结果，对各管理团队进行综合评估、分级考评。</w:t>
      </w:r>
    </w:p>
    <w:p>
      <w:pPr>
        <w:spacing w:line="500" w:lineRule="exact"/>
        <w:ind w:firstLine="560" w:firstLineChars="200"/>
        <w:rPr>
          <w:rFonts w:hAnsi="宋体"/>
          <w:szCs w:val="28"/>
        </w:rPr>
      </w:pPr>
      <w:r>
        <w:rPr>
          <w:rFonts w:hint="eastAsia" w:hAnsi="宋体"/>
          <w:szCs w:val="28"/>
        </w:rPr>
        <w:t>第三条</w:t>
      </w:r>
      <w:r>
        <w:rPr>
          <w:rFonts w:hint="eastAsia" w:hAnsi="宋体"/>
          <w:szCs w:val="28"/>
          <w:lang w:val="en-US" w:eastAsia="zh-CN"/>
        </w:rPr>
        <w:t xml:space="preserve">  </w:t>
      </w:r>
      <w:r>
        <w:rPr>
          <w:rFonts w:hint="eastAsia" w:hAnsi="宋体"/>
          <w:szCs w:val="28"/>
        </w:rPr>
        <w:t>结合每年度的工作考核，加强对述职内容的严格要求，对管理团队成员推行标准化的述职方式，并按照一定指标进行学院机关人员书面互评，互评结果作为机关内部考评以及团队负责人对其成员考评的重要依据。</w:t>
      </w:r>
    </w:p>
    <w:p>
      <w:pPr>
        <w:spacing w:line="500" w:lineRule="exact"/>
        <w:ind w:firstLine="560" w:firstLineChars="200"/>
        <w:rPr>
          <w:rFonts w:hAnsi="宋体"/>
          <w:szCs w:val="28"/>
        </w:rPr>
      </w:pPr>
      <w:r>
        <w:rPr>
          <w:rFonts w:hint="eastAsia" w:hAnsi="宋体"/>
          <w:szCs w:val="28"/>
        </w:rPr>
        <w:t>第四条</w:t>
      </w:r>
      <w:r>
        <w:rPr>
          <w:rFonts w:hint="eastAsia" w:hAnsi="宋体"/>
          <w:szCs w:val="28"/>
          <w:lang w:val="en-US" w:eastAsia="zh-CN"/>
        </w:rPr>
        <w:t xml:space="preserve">  </w:t>
      </w:r>
      <w:r>
        <w:rPr>
          <w:rFonts w:hint="eastAsia" w:hAnsi="宋体"/>
          <w:szCs w:val="28"/>
        </w:rPr>
        <w:t>管理队伍考核遵循“以岗位定基本奖酬金，以工作质量定绩效奖，以岗位团队为考核单位，以民主考评为考核依据”的原则，将以往学院机关年度奖酬金及院长奖励基金重新划分为基本奖酬金与绩效奖两大部分。</w:t>
      </w:r>
    </w:p>
    <w:p>
      <w:pPr>
        <w:spacing w:line="500" w:lineRule="exact"/>
        <w:ind w:firstLine="560" w:firstLineChars="200"/>
        <w:rPr>
          <w:rFonts w:hAnsi="宋体"/>
          <w:szCs w:val="28"/>
        </w:rPr>
      </w:pPr>
      <w:r>
        <w:rPr>
          <w:rFonts w:hint="eastAsia" w:hAnsi="宋体"/>
          <w:szCs w:val="28"/>
        </w:rPr>
        <w:t>第五条</w:t>
      </w:r>
      <w:r>
        <w:rPr>
          <w:rFonts w:hint="eastAsia" w:hAnsi="宋体"/>
          <w:szCs w:val="28"/>
          <w:lang w:val="en-US" w:eastAsia="zh-CN"/>
        </w:rPr>
        <w:t xml:space="preserve">  </w:t>
      </w:r>
      <w:r>
        <w:rPr>
          <w:rFonts w:hint="eastAsia" w:hAnsi="宋体"/>
          <w:szCs w:val="28"/>
        </w:rPr>
        <w:t>以工作岗位作为工作量评价对象，根据学院各阶段的工作情况和岗位职责，确定一个标准岗位工作量，继而确定每个工作岗位的权重和基本奖酬金额度。</w:t>
      </w:r>
    </w:p>
    <w:p>
      <w:pPr>
        <w:spacing w:line="500" w:lineRule="exact"/>
        <w:ind w:firstLine="560" w:firstLineChars="200"/>
        <w:rPr>
          <w:rFonts w:hAnsi="宋体"/>
          <w:szCs w:val="28"/>
        </w:rPr>
      </w:pPr>
      <w:r>
        <w:rPr>
          <w:rFonts w:hint="eastAsia" w:hAnsi="宋体"/>
          <w:szCs w:val="28"/>
        </w:rPr>
        <w:t>第六条</w:t>
      </w:r>
      <w:r>
        <w:rPr>
          <w:rFonts w:hint="eastAsia" w:hAnsi="宋体"/>
          <w:szCs w:val="28"/>
          <w:lang w:val="en-US" w:eastAsia="zh-CN"/>
        </w:rPr>
        <w:t xml:space="preserve">  </w:t>
      </w:r>
      <w:r>
        <w:rPr>
          <w:rFonts w:hint="eastAsia" w:hAnsi="宋体"/>
          <w:szCs w:val="28"/>
        </w:rPr>
        <w:t>取消院长奖励中与机关工作相关的校级奖励（省部级以上奖励仍然应该保留）项目，将额度划入机关绩效奖，与过去机关执行的浮动奖励、工作强度调节酬金合并为绩效奖总量，根据每个年度评定的绩效等级，按照工作岗位所属团队为单位划拨。团队全部额度的分配由分管院领导主持完成。</w:t>
      </w:r>
    </w:p>
    <w:p>
      <w:pPr>
        <w:spacing w:line="500" w:lineRule="exact"/>
        <w:ind w:firstLine="560" w:firstLineChars="200"/>
        <w:rPr>
          <w:rFonts w:hAnsi="宋体"/>
          <w:szCs w:val="28"/>
        </w:rPr>
      </w:pPr>
      <w:r>
        <w:rPr>
          <w:rFonts w:hint="eastAsia" w:hAnsi="宋体"/>
          <w:szCs w:val="28"/>
        </w:rPr>
        <w:t>第七条</w:t>
      </w:r>
      <w:r>
        <w:rPr>
          <w:rFonts w:hint="eastAsia" w:hAnsi="宋体"/>
          <w:szCs w:val="28"/>
          <w:lang w:val="en-US" w:eastAsia="zh-CN"/>
        </w:rPr>
        <w:t xml:space="preserve">  </w:t>
      </w:r>
      <w:r>
        <w:rPr>
          <w:rFonts w:hint="eastAsia" w:hAnsi="宋体"/>
          <w:szCs w:val="28"/>
        </w:rPr>
        <w:t>各团队绩效奖由综合考评方式确定，包括教职工考评、党政联席会议考评、机关内部考评，其中教职工考评占权重0.7，党政联席会议考评、机关内部互评各占权重0.15，综合后形成各团队绩效等级。</w:t>
      </w:r>
    </w:p>
    <w:p>
      <w:pPr>
        <w:spacing w:line="500" w:lineRule="exact"/>
        <w:ind w:firstLine="560" w:firstLineChars="200"/>
        <w:rPr>
          <w:rFonts w:hAnsi="宋体"/>
          <w:szCs w:val="28"/>
        </w:rPr>
      </w:pPr>
      <w:r>
        <w:rPr>
          <w:rFonts w:hint="eastAsia" w:hAnsi="宋体"/>
          <w:szCs w:val="28"/>
        </w:rPr>
        <w:t>第八条</w:t>
      </w:r>
      <w:r>
        <w:rPr>
          <w:rFonts w:hint="eastAsia" w:hAnsi="宋体"/>
          <w:szCs w:val="28"/>
          <w:lang w:val="en-US" w:eastAsia="zh-CN"/>
        </w:rPr>
        <w:t xml:space="preserve">  </w:t>
      </w:r>
      <w:r>
        <w:rPr>
          <w:rFonts w:hint="eastAsia" w:hAnsi="宋体"/>
          <w:szCs w:val="28"/>
        </w:rPr>
        <w:t>社会服务团队的考核，可以尝试围绕年度社会服务任务指标进行，即年初根据上年度取得的社会服务总收入，结合当年的工作预期，确定当年的社会服务任务指标。其绩效奖的发放方法如下：</w:t>
      </w:r>
    </w:p>
    <w:p>
      <w:pPr>
        <w:spacing w:line="500" w:lineRule="exact"/>
        <w:ind w:firstLine="560" w:firstLineChars="200"/>
        <w:rPr>
          <w:rFonts w:hAnsi="宋体"/>
          <w:szCs w:val="28"/>
        </w:rPr>
      </w:pPr>
      <w:r>
        <w:rPr>
          <w:rFonts w:hint="eastAsia" w:hAnsi="宋体"/>
          <w:szCs w:val="28"/>
          <w:lang w:eastAsia="zh-CN"/>
        </w:rPr>
        <w:t>（</w:t>
      </w:r>
      <w:r>
        <w:rPr>
          <w:rFonts w:hint="eastAsia" w:hAnsi="宋体"/>
          <w:szCs w:val="28"/>
        </w:rPr>
        <w:t>一</w:t>
      </w:r>
      <w:r>
        <w:rPr>
          <w:rFonts w:hint="eastAsia" w:hAnsi="宋体"/>
          <w:szCs w:val="28"/>
          <w:lang w:eastAsia="zh-CN"/>
        </w:rPr>
        <w:t>）</w:t>
      </w:r>
      <w:r>
        <w:rPr>
          <w:rFonts w:hint="eastAsia" w:hAnsi="宋体"/>
          <w:szCs w:val="28"/>
        </w:rPr>
        <w:t>如基本完成任务，可参照机关平均绩效奖发放；</w:t>
      </w:r>
    </w:p>
    <w:p>
      <w:pPr>
        <w:spacing w:line="500" w:lineRule="exact"/>
        <w:ind w:firstLine="560" w:firstLineChars="200"/>
        <w:rPr>
          <w:rFonts w:hAnsi="宋体"/>
          <w:szCs w:val="28"/>
        </w:rPr>
      </w:pPr>
      <w:r>
        <w:rPr>
          <w:rFonts w:hint="eastAsia" w:hAnsi="宋体"/>
          <w:szCs w:val="28"/>
          <w:lang w:eastAsia="zh-CN"/>
        </w:rPr>
        <w:t>（二）</w:t>
      </w:r>
      <w:r>
        <w:rPr>
          <w:rFonts w:hint="eastAsia" w:hAnsi="宋体"/>
          <w:szCs w:val="28"/>
        </w:rPr>
        <w:t>如超额完成任务，可选择按院长奖励基</w:t>
      </w:r>
      <w:bookmarkStart w:id="0" w:name="_GoBack"/>
      <w:bookmarkEnd w:id="0"/>
      <w:r>
        <w:rPr>
          <w:rFonts w:hint="eastAsia" w:hAnsi="宋体"/>
          <w:szCs w:val="28"/>
        </w:rPr>
        <w:t>金中的社会服务超工作任务奖发放；或选择根据完成率乘以机关平均绩效奖发放；</w:t>
      </w:r>
    </w:p>
    <w:p>
      <w:pPr>
        <w:spacing w:line="500" w:lineRule="exact"/>
        <w:ind w:firstLine="560" w:firstLineChars="200"/>
        <w:rPr>
          <w:rFonts w:hAnsi="宋体"/>
          <w:szCs w:val="28"/>
        </w:rPr>
      </w:pPr>
      <w:r>
        <w:rPr>
          <w:rFonts w:hint="eastAsia" w:hAnsi="宋体"/>
          <w:szCs w:val="28"/>
          <w:lang w:eastAsia="zh-CN"/>
        </w:rPr>
        <w:t>（</w:t>
      </w:r>
      <w:r>
        <w:rPr>
          <w:rFonts w:hint="eastAsia" w:hAnsi="宋体"/>
          <w:szCs w:val="28"/>
        </w:rPr>
        <w:t>三</w:t>
      </w:r>
      <w:r>
        <w:rPr>
          <w:rFonts w:hint="eastAsia" w:hAnsi="宋体"/>
          <w:szCs w:val="28"/>
          <w:lang w:eastAsia="zh-CN"/>
        </w:rPr>
        <w:t>）</w:t>
      </w:r>
      <w:r>
        <w:rPr>
          <w:rFonts w:hint="eastAsia" w:hAnsi="宋体"/>
          <w:szCs w:val="28"/>
        </w:rPr>
        <w:t>如未完成任务，则根据完成率乘以机关平均绩效奖发放；如完成率不足75%，则取消绩效奖；如完成率不足50%，则按50%发放其基本奖酬金。</w:t>
      </w:r>
    </w:p>
    <w:p>
      <w:pPr>
        <w:spacing w:line="500" w:lineRule="exact"/>
        <w:ind w:firstLine="560" w:firstLineChars="200"/>
        <w:rPr>
          <w:rFonts w:hAnsi="宋体"/>
          <w:szCs w:val="28"/>
        </w:rPr>
      </w:pPr>
      <w:r>
        <w:rPr>
          <w:rFonts w:hint="eastAsia" w:hAnsi="宋体"/>
          <w:szCs w:val="28"/>
        </w:rPr>
        <w:t>第九条</w:t>
      </w:r>
      <w:r>
        <w:rPr>
          <w:rFonts w:hint="eastAsia" w:hAnsi="宋体"/>
          <w:szCs w:val="28"/>
          <w:lang w:val="en-US" w:eastAsia="zh-CN"/>
        </w:rPr>
        <w:t xml:space="preserve">  </w:t>
      </w:r>
      <w:r>
        <w:rPr>
          <w:rFonts w:hint="eastAsia" w:hAnsi="宋体"/>
          <w:szCs w:val="28"/>
        </w:rPr>
        <w:t>学院专职副职及以上领导的基本奖酬金，参考机关标准岗位的基本奖酬金，按照一定的权重确定；兼职副职及以上院领导的奖酬金发放按教职工分配制度执行；专、兼职副职院领导绩效奖纳入团队绩效奖总额度，由学院主要领导确定其个人绩效奖额度。</w:t>
      </w:r>
    </w:p>
    <w:p>
      <w:pPr>
        <w:spacing w:line="500" w:lineRule="exact"/>
        <w:ind w:firstLine="560" w:firstLineChars="200"/>
        <w:rPr>
          <w:rFonts w:hAnsi="宋体"/>
          <w:szCs w:val="28"/>
        </w:rPr>
      </w:pPr>
    </w:p>
    <w:p>
      <w:pPr>
        <w:spacing w:line="500" w:lineRule="exact"/>
        <w:ind w:firstLine="560" w:firstLineChars="200"/>
        <w:rPr>
          <w:rFonts w:hAnsi="宋体"/>
          <w:szCs w:val="28"/>
        </w:rPr>
      </w:pPr>
    </w:p>
    <w:p>
      <w:pPr>
        <w:spacing w:line="500" w:lineRule="exact"/>
        <w:ind w:firstLine="560" w:firstLineChars="200"/>
        <w:rPr>
          <w:rFonts w:hAnsi="宋体"/>
          <w:szCs w:val="28"/>
        </w:rPr>
      </w:pPr>
    </w:p>
    <w:p>
      <w:pPr>
        <w:spacing w:line="500" w:lineRule="exact"/>
        <w:ind w:firstLine="5180" w:firstLineChars="1850"/>
        <w:rPr>
          <w:szCs w:val="28"/>
        </w:rPr>
      </w:pPr>
      <w:r>
        <w:rPr>
          <w:rFonts w:hint="eastAsia"/>
          <w:szCs w:val="28"/>
        </w:rPr>
        <w:t xml:space="preserve">  武汉大学电子信息学院</w:t>
      </w:r>
    </w:p>
    <w:p>
      <w:pPr>
        <w:spacing w:line="500" w:lineRule="exact"/>
        <w:rPr>
          <w:szCs w:val="28"/>
        </w:rPr>
      </w:pPr>
      <w:r>
        <w:rPr>
          <w:rFonts w:hint="eastAsia"/>
          <w:szCs w:val="28"/>
        </w:rPr>
        <w:t xml:space="preserve">                                         二○一三年十二月</w:t>
      </w:r>
    </w:p>
    <w:p>
      <w:pPr>
        <w:spacing w:line="500" w:lineRule="exact"/>
        <w:ind w:firstLine="560" w:firstLineChars="200"/>
        <w:rPr>
          <w:rFonts w:hAnsi="宋体"/>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Tahoma">
    <w:panose1 w:val="020B0604030504040204"/>
    <w:charset w:val="00"/>
    <w:family w:val="auto"/>
    <w:pitch w:val="default"/>
    <w:sig w:usb0="61007A87" w:usb1="80000000" w:usb2="00000008"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Wingdings">
    <w:panose1 w:val="05000000000000000000"/>
    <w:charset w:val="02"/>
    <w:family w:val="auto"/>
    <w:pitch w:val="default"/>
    <w:sig w:usb0="00000000" w:usb1="00000000" w:usb2="00000000" w:usb3="00000000" w:csb0="80000000" w:csb1="00000000"/>
  </w:font>
  <w:font w:name="微软雅黑">
    <w:altName w:val="黑体"/>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alibri">
    <w:panose1 w:val="020F0502020204030204"/>
    <w:charset w:val="00"/>
    <w:family w:val="auto"/>
    <w:pitch w:val="default"/>
    <w:sig w:usb0="A00002EF" w:usb1="4000207B" w:usb2="00000000" w:usb3="00000000" w:csb0="2000009F" w:csb1="00000000"/>
  </w:font>
  <w:font w:name="Cambria">
    <w:panose1 w:val="02040503050406030204"/>
    <w:charset w:val="00"/>
    <w:family w:val="auto"/>
    <w:pitch w:val="default"/>
    <w:sig w:usb0="A00002EF" w:usb1="4000004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仿宋_GB2312" w:hAnsi="Times New Roman" w:eastAsia="仿宋_GB2312" w:cs="Times New Roman"/>
      <w:kern w:val="24"/>
      <w:sz w:val="28"/>
      <w:lang w:val="en-US" w:eastAsia="zh-CN" w:bidi="ar-SA"/>
    </w:rPr>
  </w:style>
  <w:style w:type="paragraph" w:styleId="2">
    <w:name w:val="heading 1"/>
    <w:basedOn w:val="1"/>
    <w:next w:val="1"/>
    <w:link w:val="11"/>
    <w:qFormat/>
    <w:uiPriority w:val="0"/>
    <w:pPr>
      <w:keepNext/>
      <w:keepLines/>
      <w:spacing w:before="340" w:after="330" w:line="578" w:lineRule="auto"/>
      <w:outlineLvl w:val="0"/>
    </w:pPr>
    <w:rPr>
      <w:rFonts w:ascii="Calibri" w:hAnsi="Calibri" w:eastAsia="宋体"/>
      <w:b/>
      <w:bCs/>
      <w:kern w:val="44"/>
      <w:sz w:val="44"/>
      <w:szCs w:val="44"/>
    </w:rPr>
  </w:style>
  <w:style w:type="paragraph" w:styleId="3">
    <w:name w:val="heading 2"/>
    <w:basedOn w:val="1"/>
    <w:next w:val="1"/>
    <w:link w:val="12"/>
    <w:qFormat/>
    <w:uiPriority w:val="0"/>
    <w:pPr>
      <w:keepNext/>
      <w:keepLines/>
      <w:spacing w:before="260" w:after="260" w:line="416" w:lineRule="auto"/>
      <w:outlineLvl w:val="1"/>
    </w:pPr>
    <w:rPr>
      <w:rFonts w:ascii="Cambria" w:hAnsi="Cambria" w:eastAsia="宋体"/>
      <w:b/>
      <w:bCs/>
      <w:kern w:val="2"/>
      <w:sz w:val="32"/>
      <w:szCs w:val="32"/>
    </w:rPr>
  </w:style>
  <w:style w:type="paragraph" w:styleId="4">
    <w:name w:val="heading 3"/>
    <w:basedOn w:val="1"/>
    <w:next w:val="1"/>
    <w:link w:val="13"/>
    <w:qFormat/>
    <w:uiPriority w:val="0"/>
    <w:pPr>
      <w:keepNext/>
      <w:keepLines/>
      <w:spacing w:before="260" w:after="260" w:line="416" w:lineRule="auto"/>
      <w:outlineLvl w:val="2"/>
    </w:pPr>
    <w:rPr>
      <w:rFonts w:ascii="Calibri" w:hAnsi="Calibri" w:eastAsia="宋体"/>
      <w:b/>
      <w:bCs/>
      <w:kern w:val="2"/>
      <w:sz w:val="32"/>
      <w:szCs w:val="32"/>
    </w:rPr>
  </w:style>
  <w:style w:type="paragraph" w:styleId="5">
    <w:name w:val="heading 4"/>
    <w:basedOn w:val="1"/>
    <w:next w:val="1"/>
    <w:link w:val="14"/>
    <w:qFormat/>
    <w:uiPriority w:val="0"/>
    <w:pPr>
      <w:keepNext/>
      <w:keepLines/>
      <w:spacing w:before="280" w:after="290" w:line="376" w:lineRule="auto"/>
      <w:outlineLvl w:val="3"/>
    </w:pPr>
    <w:rPr>
      <w:rFonts w:ascii="Cambria" w:hAnsi="Cambria" w:eastAsia="宋体"/>
      <w:b/>
      <w:bCs/>
      <w:kern w:val="2"/>
      <w:szCs w:val="28"/>
    </w:rPr>
  </w:style>
  <w:style w:type="character" w:default="1" w:styleId="8">
    <w:name w:val="Default Paragraph Font"/>
    <w:semiHidden/>
    <w:unhideWhenUsed/>
    <w:uiPriority w:val="1"/>
  </w:style>
  <w:style w:type="paragraph" w:styleId="6">
    <w:name w:val="footer"/>
    <w:basedOn w:val="1"/>
    <w:link w:val="16"/>
    <w:semiHidden/>
    <w:unhideWhenUsed/>
    <w:uiPriority w:val="99"/>
    <w:pPr>
      <w:tabs>
        <w:tab w:val="center" w:pos="4153"/>
        <w:tab w:val="right" w:pos="8306"/>
      </w:tabs>
      <w:snapToGrid w:val="0"/>
      <w:jc w:val="left"/>
    </w:pPr>
    <w:rPr>
      <w:sz w:val="18"/>
      <w:szCs w:val="18"/>
    </w:rPr>
  </w:style>
  <w:style w:type="paragraph" w:styleId="7">
    <w:name w:val="header"/>
    <w:basedOn w:val="1"/>
    <w:link w:val="15"/>
    <w:semiHidden/>
    <w:unhideWhenUsed/>
    <w:uiPriority w:val="99"/>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0"/>
    <w:rPr>
      <w:b/>
      <w:bCs/>
    </w:rPr>
  </w:style>
  <w:style w:type="paragraph" w:customStyle="1" w:styleId="10">
    <w:name w:val="List Paragraph"/>
    <w:basedOn w:val="1"/>
    <w:qFormat/>
    <w:uiPriority w:val="34"/>
    <w:pPr>
      <w:ind w:firstLine="420" w:firstLineChars="200"/>
    </w:pPr>
  </w:style>
  <w:style w:type="character" w:customStyle="1" w:styleId="11">
    <w:name w:val="标题 1 Char"/>
    <w:basedOn w:val="8"/>
    <w:link w:val="2"/>
    <w:uiPriority w:val="0"/>
    <w:rPr>
      <w:rFonts w:ascii="Calibri" w:hAnsi="Calibri" w:eastAsia="宋体"/>
      <w:b/>
      <w:bCs/>
      <w:kern w:val="44"/>
      <w:sz w:val="44"/>
      <w:szCs w:val="44"/>
      <w:lang w:val="en-US" w:eastAsia="zh-CN" w:bidi="ar-SA"/>
    </w:rPr>
  </w:style>
  <w:style w:type="character" w:customStyle="1" w:styleId="12">
    <w:name w:val="标题 2 Char"/>
    <w:basedOn w:val="8"/>
    <w:link w:val="3"/>
    <w:uiPriority w:val="0"/>
    <w:rPr>
      <w:rFonts w:ascii="Cambria" w:hAnsi="Cambria"/>
      <w:b/>
      <w:bCs/>
      <w:kern w:val="2"/>
      <w:sz w:val="32"/>
      <w:szCs w:val="32"/>
    </w:rPr>
  </w:style>
  <w:style w:type="character" w:customStyle="1" w:styleId="13">
    <w:name w:val="标题 3 Char"/>
    <w:basedOn w:val="8"/>
    <w:link w:val="4"/>
    <w:uiPriority w:val="0"/>
    <w:rPr>
      <w:rFonts w:ascii="Calibri" w:hAnsi="Calibri"/>
      <w:b/>
      <w:bCs/>
      <w:kern w:val="2"/>
      <w:sz w:val="32"/>
      <w:szCs w:val="32"/>
    </w:rPr>
  </w:style>
  <w:style w:type="character" w:customStyle="1" w:styleId="14">
    <w:name w:val="标题 4 Char"/>
    <w:basedOn w:val="8"/>
    <w:link w:val="5"/>
    <w:uiPriority w:val="0"/>
    <w:rPr>
      <w:rFonts w:ascii="Cambria" w:hAnsi="Cambria"/>
      <w:b/>
      <w:bCs/>
      <w:kern w:val="2"/>
      <w:sz w:val="28"/>
      <w:szCs w:val="28"/>
    </w:rPr>
  </w:style>
  <w:style w:type="character" w:customStyle="1" w:styleId="15">
    <w:name w:val="页眉 Char"/>
    <w:basedOn w:val="8"/>
    <w:link w:val="7"/>
    <w:semiHidden/>
    <w:uiPriority w:val="99"/>
    <w:rPr>
      <w:rFonts w:ascii="仿宋_GB2312" w:eastAsia="仿宋_GB2312"/>
      <w:kern w:val="24"/>
      <w:sz w:val="18"/>
      <w:szCs w:val="18"/>
    </w:rPr>
  </w:style>
  <w:style w:type="character" w:customStyle="1" w:styleId="16">
    <w:name w:val="页脚 Char"/>
    <w:basedOn w:val="8"/>
    <w:link w:val="6"/>
    <w:semiHidden/>
    <w:uiPriority w:val="99"/>
    <w:rPr>
      <w:rFonts w:ascii="仿宋_GB2312" w:eastAsia="仿宋_GB2312"/>
      <w:kern w:val="24"/>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171</Words>
  <Characters>980</Characters>
  <Lines>8</Lines>
  <Paragraphs>2</Paragraphs>
  <TotalTime>0</TotalTime>
  <ScaleCrop>false</ScaleCrop>
  <LinksUpToDate>false</LinksUpToDate>
  <CharactersWithSpaces>0</CharactersWithSpaces>
  <Application>WPS Office 个人版_9.1.0.4429_{F1E327BC-269C-435d-A152-05C5408002CA}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2014-01-06T13:43:00Z</dcterms:created>
  <dc:creator>郭强</dc:creator>
  <cp:lastModifiedBy>Administrator</cp:lastModifiedBy>
  <dcterms:modified xsi:type="dcterms:W3CDTF">2014-03-14T00:59:18Z</dcterms:modified>
  <dc:title>电子信息学院管理团队绩效考核办法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2052-9.1.0.4429</vt:lpwstr>
  </property>
</Properties>
</file>