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026F2">
      <w:pPr>
        <w:widowControl/>
        <w:numPr>
          <w:ilvl w:val="0"/>
          <w:numId w:val="0"/>
        </w:numPr>
        <w:kinsoku/>
        <w:autoSpaceDE/>
        <w:autoSpaceDN/>
        <w:spacing w:line="336" w:lineRule="auto"/>
        <w:jc w:val="both"/>
        <w:textAlignment w:val="auto"/>
        <w:rPr>
          <w:rFonts w:ascii="Times New Roman" w:hAnsi="Times New Roman" w:eastAsia="黑体" w:cs="黑体"/>
          <w:snapToGrid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 w:bidi="ar-SA"/>
        </w:rPr>
        <w:t>附件3</w:t>
      </w:r>
    </w:p>
    <w:p w14:paraId="0565AB5F">
      <w:pPr>
        <w:widowControl w:val="0"/>
        <w:kinsoku/>
        <w:autoSpaceDE/>
        <w:autoSpaceDN/>
        <w:spacing w:before="435" w:beforeLines="100" w:line="560" w:lineRule="exact"/>
        <w:ind w:firstLine="0" w:firstLineChars="0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>第三届全国大学生职业规划大赛课程教学赛道方案</w:t>
      </w:r>
    </w:p>
    <w:bookmarkEnd w:id="0"/>
    <w:p w14:paraId="7B306285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  <w:t>比赛内容</w:t>
      </w:r>
    </w:p>
    <w:p w14:paraId="77AA6492">
      <w:pPr>
        <w:pStyle w:val="2"/>
        <w:spacing w:before="137" w:line="329" w:lineRule="auto"/>
        <w:ind w:right="142" w:firstLine="640"/>
        <w:jc w:val="both"/>
        <w:rPr>
          <w:sz w:val="32"/>
          <w:szCs w:val="32"/>
        </w:rPr>
      </w:pPr>
      <w:r>
        <w:rPr>
          <w:rFonts w:hint="eastAsia"/>
          <w:spacing w:val="-5"/>
          <w:sz w:val="32"/>
          <w:szCs w:val="32"/>
        </w:rPr>
        <w:t>考围绕落实立德树人根本任务、促进高质量充分就业，考察高 校面向国家社会发展需要和学生全面发展需求，开设的大学生职 业发展与就业指导课程建设情况、改革创新和实施效果，以及授 课教师教学水平。</w:t>
      </w:r>
    </w:p>
    <w:p w14:paraId="6D2DAD0A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  <w:t>参赛对象</w:t>
      </w:r>
    </w:p>
    <w:p w14:paraId="0F68AD55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普通高等学校开设的大学生职业发展与就业指导类课程(不含创新创业类课程和相关专业类课程),每校限1门，参赛教师为参赛课程的主讲教师(须是学校在编或正式聘用人员)。比赛主要面向必修课程，有特色的选修课程也可参赛，课程近3年开设至少2轮。</w:t>
      </w:r>
    </w:p>
    <w:p w14:paraId="0A185232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  <w:t>比赛安排</w:t>
      </w:r>
    </w:p>
    <w:p w14:paraId="4984C908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(一)高校推荐(11月8日前)</w:t>
      </w:r>
    </w:p>
    <w:p w14:paraId="54B6E739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各高校结合学校工作实际，制定本校课程教学赛道评选方案，严格按照教育部通知要求，择优推荐教师参加选拔赛。推荐参加选拔赛的相关教师须按要求提交参赛材料。</w:t>
      </w:r>
    </w:p>
    <w:p w14:paraId="36107DDB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(二)专家初评(11月中旬)</w:t>
      </w:r>
    </w:p>
    <w:p w14:paraId="4F741592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初评采用网络评审方式进行。大赛组委会组织专家对高校推荐材料进行评审，按照一定比例晋级省赛决赛。</w:t>
      </w:r>
    </w:p>
    <w:p w14:paraId="45D715F7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(三)省级决赛(11月底)</w:t>
      </w:r>
    </w:p>
    <w:p w14:paraId="2A0DE9A9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湖北省决赛采取现场比赛形式进行。具体包括课程建设情况汇报、课程展示、互动答辩三个环节。参赛选手按照组别分组进行。</w:t>
      </w:r>
    </w:p>
    <w:p w14:paraId="6AAC0BD4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参赛材料及现场比赛相关要求另行通知。</w:t>
      </w:r>
    </w:p>
    <w:p w14:paraId="168C23C4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  <w:t>评审标准</w:t>
      </w:r>
    </w:p>
    <w:p w14:paraId="06877D80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现场比赛选手最终成绩由网络评审和现场比赛两部分成绩组成。</w:t>
      </w:r>
    </w:p>
    <w:tbl>
      <w:tblPr>
        <w:tblStyle w:val="6"/>
        <w:tblW w:w="9124" w:type="dxa"/>
        <w:tblInd w:w="-1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8"/>
        <w:gridCol w:w="6042"/>
        <w:gridCol w:w="864"/>
      </w:tblGrid>
      <w:tr w14:paraId="78103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9124" w:type="dxa"/>
            <w:gridSpan w:val="3"/>
            <w:vAlign w:val="top"/>
          </w:tcPr>
          <w:p w14:paraId="4A7A334A">
            <w:pPr>
              <w:pStyle w:val="5"/>
              <w:spacing w:before="122" w:line="220" w:lineRule="auto"/>
              <w:ind w:left="3508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5"/>
                <w:sz w:val="28"/>
                <w:szCs w:val="28"/>
              </w:rPr>
              <w:t>一、网络评审</w:t>
            </w:r>
          </w:p>
        </w:tc>
      </w:tr>
      <w:tr w14:paraId="68920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18" w:type="dxa"/>
            <w:vAlign w:val="top"/>
          </w:tcPr>
          <w:p w14:paraId="7746E2C4">
            <w:pPr>
              <w:pStyle w:val="5"/>
              <w:spacing w:before="115" w:line="218" w:lineRule="auto"/>
              <w:ind w:left="598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5"/>
                <w:sz w:val="28"/>
                <w:szCs w:val="28"/>
              </w:rPr>
              <w:t>评价维度</w:t>
            </w:r>
          </w:p>
        </w:tc>
        <w:tc>
          <w:tcPr>
            <w:tcW w:w="6042" w:type="dxa"/>
            <w:vAlign w:val="top"/>
          </w:tcPr>
          <w:p w14:paraId="44C0C1FC">
            <w:pPr>
              <w:pStyle w:val="5"/>
              <w:spacing w:before="115" w:line="218" w:lineRule="auto"/>
              <w:ind w:left="2386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  <w:sz w:val="28"/>
                <w:szCs w:val="28"/>
              </w:rPr>
              <w:t>评价要点</w:t>
            </w:r>
          </w:p>
        </w:tc>
        <w:tc>
          <w:tcPr>
            <w:tcW w:w="864" w:type="dxa"/>
            <w:vAlign w:val="top"/>
          </w:tcPr>
          <w:p w14:paraId="058DB0AF">
            <w:pPr>
              <w:pStyle w:val="5"/>
              <w:spacing w:before="118" w:line="219" w:lineRule="auto"/>
              <w:ind w:left="172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7"/>
                <w:sz w:val="28"/>
                <w:szCs w:val="28"/>
              </w:rPr>
              <w:t>分值</w:t>
            </w:r>
          </w:p>
        </w:tc>
      </w:tr>
      <w:tr w14:paraId="3742D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0758F9AD">
            <w:pPr>
              <w:spacing w:line="26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DD8B1A6">
            <w:pPr>
              <w:spacing w:line="26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91681CB">
            <w:pPr>
              <w:spacing w:line="26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688F222">
            <w:pPr>
              <w:spacing w:line="26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8CA7CCF">
            <w:pPr>
              <w:spacing w:line="26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B0F54C9">
            <w:pPr>
              <w:pStyle w:val="5"/>
              <w:spacing w:before="85" w:line="220" w:lineRule="auto"/>
              <w:ind w:left="75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1.课程定位及目标</w:t>
            </w:r>
          </w:p>
        </w:tc>
        <w:tc>
          <w:tcPr>
            <w:tcW w:w="6042" w:type="dxa"/>
            <w:vAlign w:val="top"/>
          </w:tcPr>
          <w:p w14:paraId="3AE04C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围绕国家经济社会发展需求和学校办学定位设置课程，与思想政治教育、专业教育深度融合，体现就业育人理念，突出专业性、前瞻性、实操性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1CF22551">
            <w:pPr>
              <w:spacing w:line="273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69892BCF">
            <w:pPr>
              <w:spacing w:line="273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55557D65">
            <w:pPr>
              <w:spacing w:line="273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7110B5F3">
            <w:pPr>
              <w:spacing w:line="273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3DBE7ED">
            <w:pPr>
              <w:spacing w:line="273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0F69BFD6">
            <w:pPr>
              <w:pStyle w:val="5"/>
              <w:spacing w:before="84"/>
              <w:ind w:left="298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8"/>
                <w:sz w:val="26"/>
                <w:szCs w:val="26"/>
              </w:rPr>
              <w:t>10</w:t>
            </w:r>
          </w:p>
        </w:tc>
      </w:tr>
      <w:tr w14:paraId="79F3A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288389C8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3166FFB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课程目标落实立德树人要求，以服务学生发展为中心，遵循学生成长规律，引导学生从实际出发选择 职业和工作岗位、提升学生生涯规划能力和求职就 业能力，促进高质量充分就业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783DBDDD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762DF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18" w:type="dxa"/>
            <w:vAlign w:val="top"/>
          </w:tcPr>
          <w:p w14:paraId="1700E970">
            <w:pPr>
              <w:spacing w:line="28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7DD9E69">
            <w:pPr>
              <w:pStyle w:val="5"/>
              <w:spacing w:before="85" w:line="259" w:lineRule="auto"/>
              <w:ind w:left="105" w:right="74" w:hanging="30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2.课程性质及覆盖</w:t>
            </w:r>
            <w:r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  <w:t>面</w:t>
            </w:r>
          </w:p>
        </w:tc>
        <w:tc>
          <w:tcPr>
            <w:tcW w:w="6042" w:type="dxa"/>
            <w:vAlign w:val="top"/>
          </w:tcPr>
          <w:p w14:paraId="6688F26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课程正式纳入人才培养方案，面向有就业意愿或求职需要的学生群体开设，结合校情、学情设置必修课或选修课，合理确定课程开设年级、学时及学分，优先支持覆盖所有学生的必修课</w:t>
            </w:r>
          </w:p>
        </w:tc>
        <w:tc>
          <w:tcPr>
            <w:tcW w:w="864" w:type="dxa"/>
            <w:vAlign w:val="top"/>
          </w:tcPr>
          <w:p w14:paraId="5F2117BA">
            <w:pPr>
              <w:spacing w:line="254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6C147B4">
            <w:pPr>
              <w:spacing w:line="25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6E83EA2">
            <w:pPr>
              <w:spacing w:line="25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2510591">
            <w:pPr>
              <w:pStyle w:val="5"/>
              <w:spacing w:before="85"/>
              <w:ind w:left="298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8"/>
                <w:sz w:val="26"/>
                <w:szCs w:val="26"/>
              </w:rPr>
              <w:t>10</w:t>
            </w:r>
          </w:p>
        </w:tc>
      </w:tr>
      <w:tr w14:paraId="4E5A6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4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5D0B5734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C5E6FDA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5E93CDC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FEDD3BF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A5D6F81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7CD4F21">
            <w:pPr>
              <w:spacing w:line="256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3E42E60">
            <w:pPr>
              <w:pStyle w:val="5"/>
              <w:spacing w:before="85" w:line="219" w:lineRule="auto"/>
              <w:ind w:left="205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3.课程教师团队</w:t>
            </w:r>
          </w:p>
        </w:tc>
        <w:tc>
          <w:tcPr>
            <w:tcW w:w="6042" w:type="dxa"/>
            <w:vAlign w:val="top"/>
          </w:tcPr>
          <w:p w14:paraId="1A8AEB4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课程教师团队负责人具备较高专业素养，熟练掌握生涯教育理论，具备就业指导专业能力，就业工作经验丰富，能够结合学校实际情况建立结构规模与授课学生覆盖面相匹配，专业素养过硬的教学团队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3C2F2317">
            <w:pPr>
              <w:spacing w:line="259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014CC4D0">
            <w:pPr>
              <w:spacing w:line="259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5CA4B60">
            <w:pPr>
              <w:spacing w:line="259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6195EDD4">
            <w:pPr>
              <w:spacing w:line="259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5644047F">
            <w:pPr>
              <w:spacing w:line="260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687DD9B8">
            <w:pPr>
              <w:spacing w:line="260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7E77DE67">
            <w:pPr>
              <w:pStyle w:val="5"/>
              <w:spacing w:before="85"/>
              <w:ind w:left="29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8"/>
                <w:sz w:val="26"/>
                <w:szCs w:val="26"/>
              </w:rPr>
              <w:t>15</w:t>
            </w:r>
          </w:p>
        </w:tc>
      </w:tr>
      <w:tr w14:paraId="1679A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08B7CBE3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57735C5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课程教师团队成员相对稳定，具有良好的梯队结   构、学缘结构、职称结构，校外兼职教师配备合理，体现所在学校的学科专业或行业特色，满足课程教学实际需要，能够结合学生学情和需求进行有针对性的课程创新改革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1FED458C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23FEDA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6A932213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CEF5DD2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65303FBC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6731DAD6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499B52FF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7F9945F9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BDF3688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769623B">
            <w:pPr>
              <w:pStyle w:val="5"/>
              <w:spacing w:before="84" w:line="219" w:lineRule="auto"/>
              <w:ind w:left="75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4.课程内容及设计</w:t>
            </w:r>
          </w:p>
        </w:tc>
        <w:tc>
          <w:tcPr>
            <w:tcW w:w="6042" w:type="dxa"/>
            <w:vAlign w:val="top"/>
          </w:tcPr>
          <w:p w14:paraId="783EDEC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课程内容围绕生涯规划指导、就业观念引导、就业政策解读、求职技能提升等其中一个或多个方面组织设计，体现思想性、学术性和时代性相统一，兼顾课程共性与学校个性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139A1126">
            <w:pPr>
              <w:spacing w:line="257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1F81D4F">
            <w:pPr>
              <w:spacing w:line="257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0507D460">
            <w:pPr>
              <w:spacing w:line="257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4CAFA010">
            <w:pPr>
              <w:spacing w:line="258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4305B7E0">
            <w:pPr>
              <w:spacing w:line="258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91AC7D5">
            <w:pPr>
              <w:spacing w:line="258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143937D">
            <w:pPr>
              <w:spacing w:line="258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44FF631D">
            <w:pPr>
              <w:pStyle w:val="5"/>
              <w:spacing w:before="84"/>
              <w:ind w:left="29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6"/>
                <w:szCs w:val="26"/>
              </w:rPr>
              <w:t>20</w:t>
            </w:r>
          </w:p>
        </w:tc>
      </w:tr>
      <w:tr w14:paraId="2814B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2218" w:type="dxa"/>
            <w:vMerge w:val="continue"/>
            <w:tcBorders>
              <w:top w:val="nil"/>
              <w:bottom w:val="nil"/>
            </w:tcBorders>
            <w:vAlign w:val="top"/>
          </w:tcPr>
          <w:p w14:paraId="31FB7F3B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4E466F0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综合运用多种教学策略，结合内容采用丰富的教学 活动。注重教学互动，强化学生主体意识，能够通 过教学有效引发学生思考和行动</w:t>
            </w:r>
          </w:p>
        </w:tc>
        <w:tc>
          <w:tcPr>
            <w:tcW w:w="864" w:type="dxa"/>
            <w:vMerge w:val="continue"/>
            <w:tcBorders>
              <w:top w:val="nil"/>
              <w:bottom w:val="nil"/>
            </w:tcBorders>
            <w:vAlign w:val="top"/>
          </w:tcPr>
          <w:p w14:paraId="61DCA5D6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687C2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9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24BA889B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002A578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内容与本地区，本学校相关政策、形势、案例结合良好，各类教学案例和资源有时效性，强化职业体验和就业实习实践，与理论授课协同配合，提升实践教学的有效性。鼓励学生结合课程学习完成大赛平台生涯闯关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0A360E92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71089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1280DB79">
            <w:pPr>
              <w:spacing w:line="28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2D40C29">
            <w:pPr>
              <w:spacing w:line="28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49E5E737">
            <w:pPr>
              <w:spacing w:line="28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7376858A">
            <w:pPr>
              <w:spacing w:line="28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B5071D7">
            <w:pPr>
              <w:pStyle w:val="5"/>
              <w:spacing w:before="84" w:line="219" w:lineRule="auto"/>
              <w:ind w:left="75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5.课程建设与改革</w:t>
            </w:r>
          </w:p>
        </w:tc>
        <w:tc>
          <w:tcPr>
            <w:tcW w:w="6042" w:type="dxa"/>
            <w:vAlign w:val="top"/>
          </w:tcPr>
          <w:p w14:paraId="37C1F00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课程开设3年以上，在建设发展过程中持续改进优化，课程资源等建设成果突出，出版或选用高质量教材，按需组织修订或更新调整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441F08BD">
            <w:pPr>
              <w:spacing w:line="29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5BC8BDD">
            <w:pPr>
              <w:spacing w:line="29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4C5B84AF">
            <w:pPr>
              <w:spacing w:line="29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24AF440C">
            <w:pPr>
              <w:spacing w:line="29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02D6CBD7">
            <w:pPr>
              <w:pStyle w:val="5"/>
              <w:spacing w:before="84"/>
              <w:ind w:left="29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8"/>
                <w:sz w:val="26"/>
                <w:szCs w:val="26"/>
              </w:rPr>
              <w:t>15</w:t>
            </w:r>
          </w:p>
        </w:tc>
      </w:tr>
      <w:tr w14:paraId="2C03B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218" w:type="dxa"/>
            <w:vMerge w:val="continue"/>
            <w:tcBorders>
              <w:top w:val="nil"/>
              <w:bottom w:val="nil"/>
            </w:tcBorders>
            <w:vAlign w:val="top"/>
          </w:tcPr>
          <w:p w14:paraId="56EAB768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6045953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形成较有特色课程建设模式，教学研究及教改成果丰富，获得代表性教学奖励</w:t>
            </w:r>
          </w:p>
        </w:tc>
        <w:tc>
          <w:tcPr>
            <w:tcW w:w="864" w:type="dxa"/>
            <w:vMerge w:val="continue"/>
            <w:tcBorders>
              <w:top w:val="nil"/>
              <w:bottom w:val="nil"/>
            </w:tcBorders>
            <w:vAlign w:val="top"/>
          </w:tcPr>
          <w:p w14:paraId="595848C1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6B3253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0CB7104C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7FC7A77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有今后3年的课程建设计划，改进方向明确，问题导向、效果导向突出，改进措施具体可行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10A92FCF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1C3A41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11CC441C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0B49AEFE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2B6D8A6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7D20B71">
            <w:pPr>
              <w:spacing w:line="260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72FDAD32">
            <w:pPr>
              <w:spacing w:line="260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854295B">
            <w:pPr>
              <w:pStyle w:val="5"/>
              <w:spacing w:before="84" w:line="219" w:lineRule="auto"/>
              <w:ind w:left="75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2"/>
                <w:sz w:val="26"/>
                <w:szCs w:val="26"/>
              </w:rPr>
              <w:t>6.课程特色创新点</w:t>
            </w:r>
          </w:p>
        </w:tc>
        <w:tc>
          <w:tcPr>
            <w:tcW w:w="6042" w:type="dxa"/>
            <w:vAlign w:val="top"/>
          </w:tcPr>
          <w:p w14:paraId="108E82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注重通过理念创新、内容拓展、教学方法创新、技术手段运用等，不断提升课程质量。课程设计充分结合中国传统文化和时代需要，注重融入专业特色。鼓励结合学校特色和学生特点探索中国特色生涯教育理论创新，课程更好结合经济社会发展需要，实现课程与就业工作良性互动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2C794DB6">
            <w:pPr>
              <w:spacing w:line="264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5CDC1B5">
            <w:pPr>
              <w:spacing w:line="264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8349DEF">
            <w:pPr>
              <w:spacing w:line="264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6BCD68D4">
            <w:pPr>
              <w:spacing w:line="26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7BF07989">
            <w:pPr>
              <w:spacing w:line="26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3867D997">
            <w:pPr>
              <w:pStyle w:val="5"/>
              <w:spacing w:before="84"/>
              <w:ind w:left="29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6"/>
                <w:szCs w:val="26"/>
              </w:rPr>
              <w:t>20</w:t>
            </w:r>
          </w:p>
        </w:tc>
      </w:tr>
      <w:tr w14:paraId="162BC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7AEAAD38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3951A2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教学中精准把握学生个性化诉求，运用AI赋能、 体验式学习等手段开展教学方法创新，具备较强的 借鉴和推广价值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43E536DC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31C9F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2218" w:type="dxa"/>
            <w:vMerge w:val="restart"/>
            <w:tcBorders>
              <w:bottom w:val="nil"/>
            </w:tcBorders>
            <w:vAlign w:val="top"/>
          </w:tcPr>
          <w:p w14:paraId="10FBA91B">
            <w:pPr>
              <w:spacing w:line="258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464465A9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41ED198A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2D5C0E72">
            <w:pPr>
              <w:spacing w:line="259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38449967">
            <w:pPr>
              <w:pStyle w:val="5"/>
              <w:spacing w:before="85" w:line="220" w:lineRule="auto"/>
              <w:ind w:left="74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6"/>
                <w:szCs w:val="26"/>
              </w:rPr>
              <w:t>7.课程实施成效</w:t>
            </w:r>
          </w:p>
        </w:tc>
        <w:tc>
          <w:tcPr>
            <w:tcW w:w="6042" w:type="dxa"/>
            <w:vAlign w:val="top"/>
          </w:tcPr>
          <w:p w14:paraId="3A57D1E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课程教学满足学生生涯规划和求职就业的真实需求，学生的评教结果满意度水平高，基于学生评教结果开展教学研究，持续改进优化课程教学</w:t>
            </w: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 w14:paraId="4154A6DD">
            <w:pPr>
              <w:spacing w:line="264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50B6CB5A">
            <w:pPr>
              <w:spacing w:line="26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78921147">
            <w:pPr>
              <w:spacing w:line="26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20639D54">
            <w:pPr>
              <w:spacing w:line="265" w:lineRule="auto"/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  <w:p w14:paraId="12ABFA2B">
            <w:pPr>
              <w:pStyle w:val="5"/>
              <w:spacing w:before="85"/>
              <w:ind w:left="29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8"/>
                <w:sz w:val="26"/>
                <w:szCs w:val="26"/>
              </w:rPr>
              <w:t>10</w:t>
            </w:r>
          </w:p>
        </w:tc>
      </w:tr>
      <w:tr w14:paraId="29AFF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2218" w:type="dxa"/>
            <w:vMerge w:val="continue"/>
            <w:tcBorders>
              <w:top w:val="nil"/>
            </w:tcBorders>
            <w:vAlign w:val="top"/>
          </w:tcPr>
          <w:p w14:paraId="416CBFBD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6042" w:type="dxa"/>
            <w:vAlign w:val="top"/>
          </w:tcPr>
          <w:p w14:paraId="33E0514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8" w:beforeLines="15" w:after="48" w:afterLines="15" w:line="236" w:lineRule="auto"/>
              <w:ind w:right="51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/>
                <w:color w:val="000000"/>
                <w:kern w:val="2"/>
                <w:sz w:val="28"/>
                <w:szCs w:val="28"/>
                <w:lang w:val="en-US" w:eastAsia="zh-CN" w:bidi="ar-SA"/>
              </w:rPr>
              <w:t>课程达到预期目标，学生更加积极投入专业学习、主动开展实习实践，学生就业去向与学校定位、人才培养目标总体一致</w:t>
            </w: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 w14:paraId="7D25316E">
            <w:pPr>
              <w:rPr>
                <w:rFonts w:hint="default" w:ascii="Times New Roman" w:hAnsi="Times New Roman" w:eastAsia="方正仿宋_GB2312" w:cs="Times New Roman"/>
                <w:sz w:val="21"/>
              </w:rPr>
            </w:pPr>
          </w:p>
        </w:tc>
      </w:tr>
      <w:tr w14:paraId="06589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18" w:type="dxa"/>
            <w:vAlign w:val="top"/>
          </w:tcPr>
          <w:p w14:paraId="5F4828AC">
            <w:pPr>
              <w:pStyle w:val="5"/>
              <w:spacing w:before="135" w:line="220" w:lineRule="auto"/>
              <w:ind w:left="878"/>
              <w:rPr>
                <w:rFonts w:hint="eastAsia" w:ascii="方正仿宋_GB2312" w:hAnsi="方正仿宋_GB2312" w:eastAsia="方正仿宋_GB2312" w:cs="方正仿宋_GB2312"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1"/>
                <w:sz w:val="26"/>
                <w:szCs w:val="26"/>
              </w:rPr>
              <w:t>总分</w:t>
            </w:r>
          </w:p>
        </w:tc>
        <w:tc>
          <w:tcPr>
            <w:tcW w:w="6042" w:type="dxa"/>
            <w:vAlign w:val="top"/>
          </w:tcPr>
          <w:p w14:paraId="02E28B3C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  <w:tc>
          <w:tcPr>
            <w:tcW w:w="864" w:type="dxa"/>
            <w:vAlign w:val="top"/>
          </w:tcPr>
          <w:p w14:paraId="7F4DEA9E">
            <w:pPr>
              <w:pStyle w:val="5"/>
              <w:spacing w:before="163"/>
              <w:ind w:left="229"/>
              <w:rPr>
                <w:rFonts w:hint="default" w:ascii="Times New Roman" w:hAnsi="Times New Roman" w:eastAsia="方正仿宋_GB2312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6"/>
                <w:szCs w:val="26"/>
              </w:rPr>
              <w:t>100</w:t>
            </w:r>
          </w:p>
        </w:tc>
      </w:tr>
    </w:tbl>
    <w:p w14:paraId="5888F2F7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</w:p>
    <w:tbl>
      <w:tblPr>
        <w:tblStyle w:val="6"/>
        <w:tblW w:w="9101" w:type="dxa"/>
        <w:tblInd w:w="-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6"/>
        <w:gridCol w:w="6001"/>
        <w:gridCol w:w="844"/>
      </w:tblGrid>
      <w:tr w14:paraId="54FA0A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101" w:type="dxa"/>
            <w:gridSpan w:val="3"/>
            <w:vAlign w:val="top"/>
          </w:tcPr>
          <w:p w14:paraId="1363C7B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3478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7"/>
                <w:sz w:val="28"/>
                <w:szCs w:val="28"/>
              </w:rPr>
              <w:t>二</w:t>
            </w:r>
            <w:r>
              <w:rPr>
                <w:rFonts w:hint="eastAsia" w:ascii="方正仿宋_GB2312" w:hAnsi="方正仿宋_GB2312" w:eastAsia="方正仿宋_GB2312" w:cs="方正仿宋_GB2312"/>
                <w:spacing w:val="-23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7"/>
                <w:sz w:val="28"/>
                <w:szCs w:val="28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pacing w:val="-42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7"/>
                <w:sz w:val="28"/>
                <w:szCs w:val="28"/>
              </w:rPr>
              <w:t>现场比赛</w:t>
            </w:r>
          </w:p>
        </w:tc>
      </w:tr>
      <w:tr w14:paraId="4535B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256" w:type="dxa"/>
            <w:vAlign w:val="top"/>
          </w:tcPr>
          <w:p w14:paraId="080F75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608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5"/>
                <w:sz w:val="28"/>
                <w:szCs w:val="28"/>
              </w:rPr>
              <w:t>评价维度</w:t>
            </w:r>
          </w:p>
        </w:tc>
        <w:tc>
          <w:tcPr>
            <w:tcW w:w="6001" w:type="dxa"/>
            <w:vAlign w:val="top"/>
          </w:tcPr>
          <w:p w14:paraId="7389AA3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2356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  <w:sz w:val="28"/>
                <w:szCs w:val="28"/>
              </w:rPr>
              <w:t>评价要点</w:t>
            </w:r>
          </w:p>
        </w:tc>
        <w:tc>
          <w:tcPr>
            <w:tcW w:w="844" w:type="dxa"/>
            <w:vAlign w:val="top"/>
          </w:tcPr>
          <w:p w14:paraId="1D4173B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163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7"/>
                <w:sz w:val="28"/>
                <w:szCs w:val="28"/>
              </w:rPr>
              <w:t>分值</w:t>
            </w:r>
          </w:p>
        </w:tc>
      </w:tr>
      <w:tr w14:paraId="6A33D4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2256" w:type="dxa"/>
            <w:vAlign w:val="top"/>
          </w:tcPr>
          <w:p w14:paraId="02DFDF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5" w:lineRule="auto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1995463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6" w:lineRule="auto"/>
              <w:ind w:left="94" w:right="83" w:hanging="1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8"/>
                <w:szCs w:val="28"/>
              </w:rPr>
              <w:t>1.课程建设情况汇</w:t>
            </w:r>
            <w:r>
              <w:rPr>
                <w:rFonts w:hint="eastAsia" w:ascii="方正仿宋_GB2312" w:hAnsi="方正仿宋_GB2312" w:eastAsia="方正仿宋_GB2312" w:cs="方正仿宋_GB2312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8"/>
                <w:szCs w:val="28"/>
              </w:rPr>
              <w:t>报与互动答辩</w:t>
            </w:r>
          </w:p>
        </w:tc>
        <w:tc>
          <w:tcPr>
            <w:tcW w:w="6001" w:type="dxa"/>
            <w:vAlign w:val="top"/>
          </w:tcPr>
          <w:p w14:paraId="05BCB3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ind w:left="12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规定时间内汇报课程创新方法、实施情况、效果体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8"/>
                <w:szCs w:val="28"/>
              </w:rPr>
              <w:t>现等。回答问题能够体现教师对课程建设的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理解和思考，反映课程建设的特色、水平和对学生发展促</w:t>
            </w:r>
            <w:r>
              <w:rPr>
                <w:rFonts w:hint="eastAsia" w:ascii="方正仿宋_GB2312" w:hAnsi="方正仿宋_GB2312" w:eastAsia="方正仿宋_GB2312" w:cs="方正仿宋_GB2312"/>
                <w:spacing w:val="40"/>
                <w:sz w:val="28"/>
                <w:szCs w:val="28"/>
              </w:rPr>
              <w:t>进作用</w:t>
            </w:r>
          </w:p>
        </w:tc>
        <w:tc>
          <w:tcPr>
            <w:tcW w:w="844" w:type="dxa"/>
            <w:vAlign w:val="top"/>
          </w:tcPr>
          <w:p w14:paraId="6090DB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  <w:p w14:paraId="266788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  <w:p w14:paraId="21E0F8F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289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50</w:t>
            </w:r>
          </w:p>
        </w:tc>
      </w:tr>
      <w:tr w14:paraId="2F60E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2256" w:type="dxa"/>
            <w:vMerge w:val="restart"/>
            <w:tcBorders>
              <w:bottom w:val="nil"/>
            </w:tcBorders>
            <w:vAlign w:val="top"/>
          </w:tcPr>
          <w:p w14:paraId="356704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8" w:lineRule="auto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3A8223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8" w:lineRule="auto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5CC830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9" w:lineRule="auto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 w14:paraId="202792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54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8"/>
                <w:szCs w:val="28"/>
              </w:rPr>
              <w:t>2.教学展示</w:t>
            </w:r>
          </w:p>
        </w:tc>
        <w:tc>
          <w:tcPr>
            <w:tcW w:w="6001" w:type="dxa"/>
            <w:vAlign w:val="top"/>
          </w:tcPr>
          <w:p w14:paraId="5B75614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0" w:lineRule="auto"/>
              <w:ind w:left="102" w:right="9" w:hanging="9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围绕主题合理设计内容，采用适当教学方法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体现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8"/>
                <w:szCs w:val="28"/>
              </w:rPr>
              <w:t>对学生实践行动的促进，实现预期教学目标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047EC2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6" w:lineRule="auto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  <w:p w14:paraId="2F3787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7" w:lineRule="auto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  <w:p w14:paraId="508E23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17" w:lineRule="auto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  <w:p w14:paraId="1FBC5F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289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4"/>
                <w:sz w:val="28"/>
                <w:szCs w:val="28"/>
              </w:rPr>
              <w:t>50</w:t>
            </w:r>
          </w:p>
        </w:tc>
      </w:tr>
      <w:tr w14:paraId="59819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2256" w:type="dxa"/>
            <w:vMerge w:val="continue"/>
            <w:tcBorders>
              <w:top w:val="nil"/>
            </w:tcBorders>
            <w:vAlign w:val="top"/>
          </w:tcPr>
          <w:p w14:paraId="0C7C41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6001" w:type="dxa"/>
            <w:vAlign w:val="top"/>
          </w:tcPr>
          <w:p w14:paraId="3EF2711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1" w:lineRule="auto"/>
              <w:ind w:left="101" w:hanging="89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通过教学展示体现教师实际教学的经验，突出以学</w:t>
            </w:r>
            <w:r>
              <w:rPr>
                <w:rFonts w:hint="eastAsia" w:ascii="方正仿宋_GB2312" w:hAnsi="方正仿宋_GB2312" w:eastAsia="方正仿宋_GB2312" w:cs="方正仿宋_GB2312"/>
                <w:spacing w:val="-4"/>
                <w:sz w:val="28"/>
                <w:szCs w:val="28"/>
              </w:rPr>
              <w:t>生为主体，熟练运用生涯教育理论和方法，解决学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8"/>
                <w:szCs w:val="28"/>
              </w:rPr>
              <w:t>生生涯发展中的实际问题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717B82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</w:tr>
      <w:tr w14:paraId="24BF0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256" w:type="dxa"/>
            <w:vAlign w:val="top"/>
          </w:tcPr>
          <w:p w14:paraId="0ABB6BD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868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-1"/>
                <w:sz w:val="28"/>
                <w:szCs w:val="28"/>
              </w:rPr>
              <w:t>总分</w:t>
            </w:r>
          </w:p>
        </w:tc>
        <w:tc>
          <w:tcPr>
            <w:tcW w:w="6001" w:type="dxa"/>
            <w:vAlign w:val="top"/>
          </w:tcPr>
          <w:p w14:paraId="66077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 w14:paraId="3332D5A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219"/>
              <w:textAlignment w:val="baseline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8"/>
                <w:szCs w:val="28"/>
              </w:rPr>
              <w:t>100</w:t>
            </w:r>
          </w:p>
        </w:tc>
      </w:tr>
    </w:tbl>
    <w:p w14:paraId="03945BB6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</w:p>
    <w:p w14:paraId="5C13B630">
      <w:pPr>
        <w:widowControl w:val="0"/>
        <w:numPr>
          <w:ilvl w:val="0"/>
          <w:numId w:val="1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仿宋_GB2312"/>
          <w:bCs/>
          <w:snapToGrid/>
          <w:kern w:val="2"/>
          <w:sz w:val="32"/>
          <w:szCs w:val="32"/>
          <w:lang w:val="en-US" w:eastAsia="zh-CN" w:bidi="ar-SA"/>
        </w:rPr>
        <w:t>奖项设置</w:t>
      </w:r>
    </w:p>
    <w:p w14:paraId="751456B1">
      <w:pPr>
        <w:widowControl/>
        <w:numPr>
          <w:ilvl w:val="0"/>
          <w:numId w:val="0"/>
        </w:numPr>
        <w:kinsoku/>
        <w:autoSpaceDE/>
        <w:autoSpaceDN/>
        <w:spacing w:line="336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kern w:val="2"/>
          <w:sz w:val="32"/>
          <w:szCs w:val="22"/>
          <w:lang w:val="en-US" w:eastAsia="zh-CN" w:bidi="ar-SA"/>
        </w:rPr>
        <w:t>课程教学赛道湖北省决赛共设金奖、银奖、铜奖若干名。后期，根据教育部分配名额，择优推荐省赛选手参加国赛。</w:t>
      </w:r>
    </w:p>
    <w:p w14:paraId="322FC005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AC6FC3-DB2A-4158-9922-EF6DA9F758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789CF02-8E59-4E7B-98D7-DDD26A1CC2A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DB136D3-A14C-49F7-B913-2D0FBC28E6E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31EFF8F-6662-4673-9CDE-FE193BFEB4D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507072C4-E2A5-4E50-8504-CE20679784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F07EC">
    <w:pPr>
      <w:spacing w:before="1" w:line="182" w:lineRule="auto"/>
      <w:ind w:left="4009"/>
      <w:rPr>
        <w:rFonts w:ascii="宋体" w:hAnsi="宋体" w:eastAsia="宋体" w:cs="宋体"/>
        <w:sz w:val="33"/>
        <w:szCs w:val="3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BCF4E6"/>
    <w:multiLevelType w:val="singleLevel"/>
    <w:tmpl w:val="55BCF4E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E6AE8"/>
    <w:rsid w:val="09CE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2025-11-03T03:38:00Z</dcterms:created>
  <dc:creator>芳年华月</dc:creator>
  <cp:lastModifiedBy>芳年华月</cp:lastModifiedBy>
  <dcterms:modified xsi:type="dcterms:W3CDTF">2025-11-03T03:39:52Z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FE73D109F6E94A0F878F1B7150F31DA1_11</vt:lpwstr>
  </property>
  <property fmtid="{D5CDD505-2E9C-101B-9397-08002B2CF9AE}" pid="4" name="KSOTemplateDocerSaveRecord">
    <vt:lpwstr>eyJoZGlkIjoiZGEyMzc0NzE4ZmE4NGEwYjU0M2Q5NTY4MWYwN2MxZTYiLCJ1c2VySWQiOiI0NTA3ODY2NTEifQ==</vt:lpwstr>
  </property>
</Properties>
</file>