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0DDBD0">
      <w:pPr>
        <w:widowControl/>
        <w:numPr>
          <w:ilvl w:val="0"/>
          <w:numId w:val="0"/>
        </w:numPr>
        <w:kinsoku/>
        <w:autoSpaceDE/>
        <w:autoSpaceDN/>
        <w:spacing w:line="336" w:lineRule="auto"/>
        <w:ind w:firstLine="640" w:firstLineChars="200"/>
        <w:jc w:val="both"/>
        <w:textAlignment w:val="auto"/>
        <w:rPr>
          <w:rFonts w:ascii="Times New Roman" w:hAnsi="Times New Roman" w:eastAsia="黑体" w:cs="黑体"/>
          <w:snapToGrid/>
          <w:kern w:val="2"/>
          <w:sz w:val="32"/>
          <w:szCs w:val="32"/>
          <w:lang w:val="en-US" w:eastAsia="zh-CN" w:bidi="ar-SA"/>
        </w:rPr>
      </w:pPr>
      <w:bookmarkStart w:id="0" w:name="_GoBack"/>
      <w:r>
        <w:rPr>
          <w:rFonts w:hint="eastAsia" w:ascii="黑体" w:hAnsi="黑体" w:eastAsia="黑体" w:cs="黑体"/>
          <w:snapToGrid/>
          <w:kern w:val="2"/>
          <w:sz w:val="32"/>
          <w:szCs w:val="32"/>
          <w:lang w:val="en-US" w:eastAsia="zh-CN" w:bidi="ar-SA"/>
        </w:rPr>
        <w:t>附件2</w:t>
      </w:r>
    </w:p>
    <w:p w14:paraId="2A97980E">
      <w:pPr>
        <w:widowControl w:val="0"/>
        <w:kinsoku/>
        <w:autoSpaceDE/>
        <w:autoSpaceDN/>
        <w:spacing w:before="435" w:beforeLines="100" w:line="560" w:lineRule="exact"/>
        <w:ind w:firstLine="0" w:firstLineChars="0"/>
        <w:jc w:val="center"/>
        <w:textAlignment w:val="auto"/>
        <w:rPr>
          <w:rFonts w:ascii="Times New Roman" w:hAnsi="Times New Roman" w:eastAsia="方正小标宋简体" w:cs="方正小标宋简体"/>
          <w:snapToGrid/>
          <w:kern w:val="2"/>
          <w:sz w:val="44"/>
          <w:szCs w:val="44"/>
          <w:lang w:val="en-US" w:eastAsia="zh-CN" w:bidi="ar-SA"/>
        </w:rPr>
      </w:pPr>
      <w:r>
        <w:rPr>
          <w:rFonts w:hint="eastAsia" w:ascii="Times New Roman" w:hAnsi="Times New Roman" w:eastAsia="方正小标宋简体" w:cs="方正小标宋简体"/>
          <w:snapToGrid/>
          <w:kern w:val="2"/>
          <w:sz w:val="44"/>
          <w:szCs w:val="44"/>
          <w:lang w:val="en-US" w:eastAsia="zh-CN" w:bidi="ar-SA"/>
        </w:rPr>
        <w:t>第三届全国大学生职业规划大赛就业赛道方案</w:t>
      </w:r>
    </w:p>
    <w:bookmarkEnd w:id="0"/>
    <w:p w14:paraId="6052A4C7">
      <w:pPr>
        <w:widowControl w:val="0"/>
        <w:numPr>
          <w:ilvl w:val="0"/>
          <w:numId w:val="1"/>
        </w:numPr>
        <w:kinsoku/>
        <w:autoSpaceDE/>
        <w:autoSpaceDN/>
        <w:spacing w:line="336" w:lineRule="auto"/>
        <w:ind w:firstLine="640" w:firstLineChars="200"/>
        <w:jc w:val="both"/>
        <w:textAlignment w:val="auto"/>
        <w:rPr>
          <w:rFonts w:ascii="Times New Roman" w:hAnsi="Times New Roman" w:eastAsia="黑体" w:cs="仿宋_GB2312"/>
          <w:bCs/>
          <w:snapToGrid/>
          <w:kern w:val="2"/>
          <w:sz w:val="32"/>
          <w:szCs w:val="32"/>
          <w:lang w:val="en-US" w:eastAsia="zh-CN" w:bidi="ar-SA"/>
        </w:rPr>
      </w:pPr>
      <w:r>
        <w:rPr>
          <w:rFonts w:hint="eastAsia" w:ascii="Times New Roman" w:hAnsi="Times New Roman" w:eastAsia="黑体" w:cs="仿宋_GB2312"/>
          <w:bCs/>
          <w:snapToGrid/>
          <w:kern w:val="2"/>
          <w:sz w:val="32"/>
          <w:szCs w:val="32"/>
          <w:lang w:val="en-US" w:eastAsia="zh-CN" w:bidi="ar-SA"/>
        </w:rPr>
        <w:t>比赛内容</w:t>
      </w:r>
    </w:p>
    <w:p w14:paraId="1966DA59">
      <w:pPr>
        <w:pStyle w:val="2"/>
        <w:spacing w:before="137" w:line="329" w:lineRule="auto"/>
        <w:ind w:right="142" w:firstLine="640"/>
        <w:jc w:val="both"/>
        <w:rPr>
          <w:sz w:val="32"/>
          <w:szCs w:val="32"/>
        </w:rPr>
      </w:pPr>
      <w:r>
        <w:rPr>
          <w:rFonts w:hint="eastAsia"/>
          <w:spacing w:val="-5"/>
          <w:sz w:val="32"/>
          <w:szCs w:val="32"/>
        </w:rPr>
        <w:t>考察学生求职实战能力，个人综合素质、专业能力与目标职 业的契合度，个人发展路径与就业市场需求的适应度。参赛学生 可获得岗位录用意向。</w:t>
      </w:r>
    </w:p>
    <w:p w14:paraId="43987F29">
      <w:pPr>
        <w:widowControl w:val="0"/>
        <w:numPr>
          <w:ilvl w:val="0"/>
          <w:numId w:val="1"/>
        </w:numPr>
        <w:kinsoku/>
        <w:autoSpaceDE/>
        <w:autoSpaceDN/>
        <w:spacing w:line="336" w:lineRule="auto"/>
        <w:ind w:firstLine="640" w:firstLineChars="200"/>
        <w:jc w:val="both"/>
        <w:textAlignment w:val="auto"/>
        <w:rPr>
          <w:rFonts w:ascii="Times New Roman" w:hAnsi="Times New Roman" w:eastAsia="黑体" w:cs="仿宋_GB2312"/>
          <w:bCs/>
          <w:snapToGrid/>
          <w:kern w:val="2"/>
          <w:sz w:val="32"/>
          <w:szCs w:val="32"/>
          <w:lang w:val="en-US" w:eastAsia="zh-CN" w:bidi="ar-SA"/>
        </w:rPr>
      </w:pPr>
      <w:r>
        <w:rPr>
          <w:rFonts w:hint="eastAsia" w:ascii="Times New Roman" w:hAnsi="Times New Roman" w:eastAsia="黑体" w:cs="仿宋_GB2312"/>
          <w:bCs/>
          <w:snapToGrid/>
          <w:kern w:val="2"/>
          <w:sz w:val="32"/>
          <w:szCs w:val="32"/>
          <w:lang w:val="en-US" w:eastAsia="zh-CN" w:bidi="ar-SA"/>
        </w:rPr>
        <w:t>参赛组别和对象</w:t>
      </w:r>
    </w:p>
    <w:p w14:paraId="51FF612A">
      <w:pPr>
        <w:widowControl/>
        <w:numPr>
          <w:ilvl w:val="0"/>
          <w:numId w:val="0"/>
        </w:numPr>
        <w:kinsoku/>
        <w:autoSpaceDE/>
        <w:autoSpaceDN/>
        <w:spacing w:line="336" w:lineRule="auto"/>
        <w:ind w:firstLine="640" w:firstLineChars="200"/>
        <w:jc w:val="both"/>
        <w:textAlignment w:val="auto"/>
        <w:rPr>
          <w:rFonts w:ascii="Times New Roman" w:hAnsi="Times New Roman" w:eastAsia="仿宋_GB2312" w:cs="仿宋_GB2312"/>
          <w:snapToGrid/>
          <w:kern w:val="2"/>
          <w:sz w:val="32"/>
          <w:szCs w:val="22"/>
          <w:lang w:val="en-US" w:eastAsia="zh-CN" w:bidi="ar-SA"/>
        </w:rPr>
      </w:pPr>
      <w:r>
        <w:rPr>
          <w:rFonts w:hint="eastAsia" w:ascii="Times New Roman" w:hAnsi="Times New Roman" w:eastAsia="仿宋_GB2312" w:cs="仿宋_GB2312"/>
          <w:snapToGrid/>
          <w:kern w:val="2"/>
          <w:sz w:val="32"/>
          <w:szCs w:val="22"/>
          <w:lang w:val="en-US" w:eastAsia="zh-CN" w:bidi="ar-SA"/>
        </w:rPr>
        <w:t>就业赛道设本科生组和研究生组，参赛对象为普通高等学校全日制本科高年级计划求职学生以及全体研究生。本科生组面向普通本科三、四年级（部分专业五年级）学生（不含已通过推免等确定升学的毕业年级学生），研究生组面向全体研究生。</w:t>
      </w:r>
    </w:p>
    <w:p w14:paraId="0E9C67DC">
      <w:pPr>
        <w:widowControl w:val="0"/>
        <w:numPr>
          <w:ilvl w:val="0"/>
          <w:numId w:val="1"/>
        </w:numPr>
        <w:kinsoku/>
        <w:autoSpaceDE/>
        <w:autoSpaceDN/>
        <w:spacing w:line="336" w:lineRule="auto"/>
        <w:ind w:firstLine="640" w:firstLineChars="200"/>
        <w:jc w:val="both"/>
        <w:textAlignment w:val="auto"/>
        <w:rPr>
          <w:rFonts w:ascii="Times New Roman" w:hAnsi="Times New Roman" w:eastAsia="黑体" w:cs="仿宋_GB2312"/>
          <w:bCs/>
          <w:snapToGrid/>
          <w:kern w:val="2"/>
          <w:sz w:val="32"/>
          <w:szCs w:val="32"/>
          <w:lang w:val="en-US" w:eastAsia="zh-CN" w:bidi="ar-SA"/>
        </w:rPr>
      </w:pPr>
      <w:r>
        <w:rPr>
          <w:rFonts w:hint="eastAsia" w:ascii="Times New Roman" w:hAnsi="Times New Roman" w:eastAsia="黑体" w:cs="仿宋_GB2312"/>
          <w:bCs/>
          <w:snapToGrid/>
          <w:kern w:val="2"/>
          <w:sz w:val="32"/>
          <w:szCs w:val="32"/>
          <w:lang w:val="en-US" w:eastAsia="zh-CN" w:bidi="ar-SA"/>
        </w:rPr>
        <w:t>参赛材料要求</w:t>
      </w:r>
    </w:p>
    <w:p w14:paraId="298AA5C0">
      <w:pPr>
        <w:widowControl/>
        <w:kinsoku/>
        <w:autoSpaceDE/>
        <w:autoSpaceDN/>
        <w:spacing w:line="336" w:lineRule="auto"/>
        <w:ind w:firstLine="640" w:firstLineChars="200"/>
        <w:jc w:val="both"/>
        <w:textAlignment w:val="auto"/>
        <w:rPr>
          <w:rFonts w:ascii="Times New Roman" w:hAnsi="Times New Roman" w:eastAsia="仿宋_GB2312" w:cs="仿宋_GB2312"/>
          <w:snapToGrid/>
          <w:kern w:val="2"/>
          <w:sz w:val="32"/>
          <w:szCs w:val="22"/>
          <w:lang w:val="en-US" w:eastAsia="zh-CN" w:bidi="ar-SA"/>
        </w:rPr>
      </w:pPr>
      <w:r>
        <w:rPr>
          <w:rFonts w:hint="eastAsia" w:ascii="Times New Roman" w:hAnsi="Times New Roman" w:eastAsia="仿宋_GB2312" w:cs="仿宋_GB2312"/>
          <w:snapToGrid/>
          <w:kern w:val="2"/>
          <w:sz w:val="32"/>
          <w:szCs w:val="22"/>
          <w:lang w:val="en-US" w:eastAsia="zh-CN" w:bidi="ar-SA"/>
        </w:rPr>
        <w:t>选手在大赛平台（网址：zgs.chsi.com.cn）提交以下参赛材料：</w:t>
      </w:r>
    </w:p>
    <w:p w14:paraId="190DE7DF">
      <w:pPr>
        <w:widowControl/>
        <w:numPr>
          <w:ilvl w:val="0"/>
          <w:numId w:val="2"/>
        </w:numPr>
        <w:kinsoku/>
        <w:autoSpaceDE/>
        <w:autoSpaceDN/>
        <w:spacing w:line="336" w:lineRule="auto"/>
        <w:ind w:firstLine="640" w:firstLineChars="200"/>
        <w:jc w:val="both"/>
        <w:textAlignment w:val="auto"/>
        <w:rPr>
          <w:rFonts w:ascii="Times New Roman" w:hAnsi="Times New Roman" w:eastAsia="仿宋_GB2312" w:cs="仿宋_GB2312"/>
          <w:snapToGrid/>
          <w:kern w:val="2"/>
          <w:sz w:val="32"/>
          <w:szCs w:val="22"/>
          <w:lang w:val="en-US" w:eastAsia="zh-CN" w:bidi="ar-SA"/>
        </w:rPr>
      </w:pPr>
      <w:r>
        <w:rPr>
          <w:rFonts w:hint="eastAsia" w:ascii="Times New Roman" w:hAnsi="Times New Roman" w:eastAsia="仿宋_GB2312" w:cs="仿宋_GB2312"/>
          <w:snapToGrid/>
          <w:kern w:val="2"/>
          <w:sz w:val="32"/>
          <w:szCs w:val="22"/>
          <w:lang w:val="en-US" w:eastAsia="zh-CN" w:bidi="ar-SA"/>
        </w:rPr>
        <w:t>求职简历（PDF格式）。</w:t>
      </w:r>
    </w:p>
    <w:p w14:paraId="503E2B56">
      <w:pPr>
        <w:widowControl/>
        <w:numPr>
          <w:ilvl w:val="0"/>
          <w:numId w:val="2"/>
        </w:numPr>
        <w:kinsoku/>
        <w:autoSpaceDE/>
        <w:autoSpaceDN/>
        <w:spacing w:line="336" w:lineRule="auto"/>
        <w:ind w:firstLine="640" w:firstLineChars="200"/>
        <w:jc w:val="both"/>
        <w:textAlignment w:val="auto"/>
        <w:rPr>
          <w:rFonts w:ascii="Times New Roman" w:hAnsi="Times New Roman" w:eastAsia="仿宋_GB2312" w:cs="仿宋_GB2312"/>
          <w:snapToGrid/>
          <w:kern w:val="2"/>
          <w:sz w:val="32"/>
          <w:szCs w:val="22"/>
          <w:lang w:val="en-US" w:eastAsia="zh-CN" w:bidi="ar-SA"/>
        </w:rPr>
      </w:pPr>
      <w:r>
        <w:rPr>
          <w:rFonts w:hint="eastAsia" w:ascii="Times New Roman" w:hAnsi="Times New Roman" w:eastAsia="仿宋_GB2312" w:cs="仿宋_GB2312"/>
          <w:snapToGrid/>
          <w:kern w:val="2"/>
          <w:sz w:val="32"/>
          <w:szCs w:val="22"/>
          <w:lang w:val="en-US" w:eastAsia="zh-CN" w:bidi="ar-SA"/>
        </w:rPr>
        <w:t>求职综合展示（PPT格式，不超过50MB；可加入视频）。</w:t>
      </w:r>
    </w:p>
    <w:p w14:paraId="16D2C4BD">
      <w:pPr>
        <w:widowControl/>
        <w:numPr>
          <w:ilvl w:val="0"/>
          <w:numId w:val="2"/>
        </w:numPr>
        <w:kinsoku/>
        <w:autoSpaceDE/>
        <w:autoSpaceDN/>
        <w:spacing w:line="336" w:lineRule="auto"/>
        <w:ind w:firstLine="640" w:firstLineChars="200"/>
        <w:jc w:val="both"/>
        <w:textAlignment w:val="auto"/>
        <w:rPr>
          <w:rFonts w:ascii="Times New Roman" w:hAnsi="Times New Roman" w:eastAsia="仿宋_GB2312" w:cs="仿宋_GB2312"/>
          <w:snapToGrid/>
          <w:kern w:val="2"/>
          <w:sz w:val="32"/>
          <w:szCs w:val="22"/>
          <w:lang w:val="en-US" w:eastAsia="zh-CN" w:bidi="ar-SA"/>
        </w:rPr>
      </w:pPr>
      <w:r>
        <w:rPr>
          <w:rFonts w:hint="eastAsia" w:ascii="Times New Roman" w:hAnsi="Times New Roman" w:eastAsia="仿宋_GB2312" w:cs="仿宋_GB2312"/>
          <w:snapToGrid/>
          <w:kern w:val="2"/>
          <w:sz w:val="32"/>
          <w:szCs w:val="22"/>
          <w:lang w:val="en-US" w:eastAsia="zh-CN" w:bidi="ar-SA"/>
        </w:rPr>
        <w:t>辅助证明材料，包括实践、实习、获奖等证明材料（PDF格式，整合为单个文件，不超过50MB）。</w:t>
      </w:r>
    </w:p>
    <w:p w14:paraId="7924743D">
      <w:pPr>
        <w:keepNext/>
        <w:widowControl w:val="0"/>
        <w:numPr>
          <w:ilvl w:val="0"/>
          <w:numId w:val="1"/>
        </w:numPr>
        <w:kinsoku/>
        <w:autoSpaceDE/>
        <w:autoSpaceDN/>
        <w:spacing w:line="336" w:lineRule="auto"/>
        <w:ind w:firstLine="640" w:firstLineChars="200"/>
        <w:jc w:val="both"/>
        <w:textAlignment w:val="auto"/>
        <w:rPr>
          <w:rFonts w:ascii="Times New Roman" w:hAnsi="Times New Roman" w:eastAsia="黑体" w:cs="仿宋_GB2312"/>
          <w:bCs/>
          <w:snapToGrid/>
          <w:kern w:val="2"/>
          <w:sz w:val="32"/>
          <w:szCs w:val="32"/>
          <w:lang w:val="en-US" w:eastAsia="zh-CN" w:bidi="ar-SA"/>
        </w:rPr>
      </w:pPr>
      <w:r>
        <w:rPr>
          <w:rFonts w:hint="eastAsia" w:ascii="Times New Roman" w:hAnsi="Times New Roman" w:eastAsia="黑体" w:cs="仿宋_GB2312"/>
          <w:bCs/>
          <w:snapToGrid/>
          <w:kern w:val="2"/>
          <w:sz w:val="32"/>
          <w:szCs w:val="32"/>
          <w:lang w:val="en-US" w:eastAsia="zh-CN" w:bidi="ar-SA"/>
        </w:rPr>
        <w:t>比赛环节</w:t>
      </w:r>
    </w:p>
    <w:p w14:paraId="254648BF">
      <w:pPr>
        <w:widowControl/>
        <w:kinsoku/>
        <w:autoSpaceDE/>
        <w:autoSpaceDN/>
        <w:spacing w:line="336" w:lineRule="auto"/>
        <w:ind w:firstLine="640" w:firstLineChars="200"/>
        <w:jc w:val="both"/>
        <w:textAlignment w:val="auto"/>
        <w:rPr>
          <w:rFonts w:ascii="Times New Roman" w:hAnsi="Times New Roman" w:eastAsia="仿宋_GB2312" w:cs="仿宋_GB2312"/>
          <w:snapToGrid/>
          <w:kern w:val="2"/>
          <w:sz w:val="32"/>
          <w:szCs w:val="22"/>
          <w:lang w:val="en-US" w:eastAsia="zh-CN" w:bidi="ar-SA"/>
        </w:rPr>
      </w:pPr>
      <w:r>
        <w:rPr>
          <w:rFonts w:hint="eastAsia" w:ascii="Times New Roman" w:hAnsi="Times New Roman" w:eastAsia="仿宋_GB2312" w:cs="仿宋_GB2312"/>
          <w:snapToGrid/>
          <w:kern w:val="2"/>
          <w:sz w:val="32"/>
          <w:szCs w:val="22"/>
          <w:lang w:val="en-US" w:eastAsia="zh-CN" w:bidi="ar-SA"/>
        </w:rPr>
        <w:t>就业赛道设主题陈述、综合面试、天降offer环节。各环节时长根据实际情况适当调整。</w:t>
      </w:r>
    </w:p>
    <w:p w14:paraId="5FC07A2A">
      <w:pPr>
        <w:widowControl/>
        <w:kinsoku/>
        <w:autoSpaceDE/>
        <w:autoSpaceDN/>
        <w:spacing w:line="336" w:lineRule="auto"/>
        <w:ind w:firstLine="640" w:firstLineChars="200"/>
        <w:jc w:val="both"/>
        <w:textAlignment w:val="auto"/>
        <w:rPr>
          <w:rFonts w:ascii="Times New Roman" w:hAnsi="Times New Roman" w:eastAsia="仿宋_GB2312" w:cs="仿宋_GB2312"/>
          <w:snapToGrid/>
          <w:kern w:val="2"/>
          <w:sz w:val="32"/>
          <w:szCs w:val="22"/>
          <w:lang w:val="en-US" w:eastAsia="zh-CN" w:bidi="ar-SA"/>
        </w:rPr>
      </w:pPr>
      <w:r>
        <w:rPr>
          <w:rFonts w:hint="eastAsia" w:ascii="Times New Roman" w:hAnsi="Times New Roman" w:eastAsia="楷体_GB2312" w:cs="仿宋_GB2312"/>
          <w:snapToGrid/>
          <w:kern w:val="2"/>
          <w:sz w:val="32"/>
          <w:szCs w:val="22"/>
          <w:lang w:val="en-US" w:eastAsia="zh-CN" w:bidi="ar-SA"/>
        </w:rPr>
        <w:t>（一）主题陈述（6分钟）</w:t>
      </w:r>
      <w:r>
        <w:rPr>
          <w:rFonts w:hint="eastAsia" w:ascii="楷体_GB2312" w:hAnsi="Times New Roman" w:eastAsia="楷体_GB2312" w:cs="仿宋_GB2312"/>
          <w:snapToGrid/>
          <w:kern w:val="2"/>
          <w:sz w:val="32"/>
          <w:szCs w:val="22"/>
          <w:lang w:val="en-US" w:eastAsia="zh-CN" w:bidi="ar-SA"/>
        </w:rPr>
        <w:t>：</w:t>
      </w:r>
      <w:r>
        <w:rPr>
          <w:rFonts w:hint="eastAsia" w:ascii="Times New Roman" w:hAnsi="Times New Roman" w:eastAsia="仿宋_GB2312" w:cs="仿宋_GB2312"/>
          <w:snapToGrid/>
          <w:kern w:val="2"/>
          <w:sz w:val="32"/>
          <w:szCs w:val="22"/>
          <w:lang w:val="en-US" w:eastAsia="zh-CN" w:bidi="ar-SA"/>
        </w:rPr>
        <w:t>选手结合求职综合展示PPT，陈述个人求职意向和职业准备情况。</w:t>
      </w:r>
    </w:p>
    <w:p w14:paraId="1BB0B395">
      <w:pPr>
        <w:widowControl/>
        <w:kinsoku/>
        <w:autoSpaceDE/>
        <w:autoSpaceDN/>
        <w:spacing w:line="336" w:lineRule="auto"/>
        <w:ind w:firstLine="640" w:firstLineChars="200"/>
        <w:jc w:val="both"/>
        <w:textAlignment w:val="auto"/>
        <w:rPr>
          <w:rFonts w:ascii="Times New Roman" w:hAnsi="Times New Roman" w:eastAsia="仿宋_GB2312" w:cs="仿宋_GB2312"/>
          <w:snapToGrid/>
          <w:color w:val="000000"/>
          <w:kern w:val="2"/>
          <w:sz w:val="32"/>
          <w:szCs w:val="22"/>
          <w:lang w:val="en-US" w:eastAsia="zh-CN" w:bidi="ar-SA"/>
        </w:rPr>
      </w:pPr>
      <w:r>
        <w:rPr>
          <w:rFonts w:hint="eastAsia" w:ascii="Times New Roman" w:hAnsi="Times New Roman" w:eastAsia="楷体_GB2312" w:cs="仿宋_GB2312"/>
          <w:snapToGrid/>
          <w:kern w:val="2"/>
          <w:sz w:val="32"/>
          <w:szCs w:val="22"/>
          <w:lang w:val="en-US" w:eastAsia="zh-CN" w:bidi="ar-SA"/>
        </w:rPr>
        <w:t>（二）综合面试（6分钟）</w:t>
      </w:r>
      <w:r>
        <w:rPr>
          <w:rFonts w:hint="eastAsia" w:ascii="楷体_GB2312" w:hAnsi="Times New Roman" w:eastAsia="楷体_GB2312" w:cs="仿宋_GB2312"/>
          <w:snapToGrid/>
          <w:kern w:val="2"/>
          <w:sz w:val="32"/>
          <w:szCs w:val="22"/>
          <w:lang w:val="en-US" w:eastAsia="zh-CN" w:bidi="ar-SA"/>
        </w:rPr>
        <w:t>：</w:t>
      </w:r>
      <w:r>
        <w:rPr>
          <w:rFonts w:hint="eastAsia" w:ascii="Times New Roman" w:hAnsi="Times New Roman" w:eastAsia="仿宋_GB2312" w:cs="仿宋_GB2312"/>
          <w:snapToGrid/>
          <w:color w:val="000000"/>
          <w:kern w:val="2"/>
          <w:sz w:val="32"/>
          <w:szCs w:val="22"/>
          <w:lang w:val="en-US" w:eastAsia="zh-CN" w:bidi="ar-SA"/>
        </w:rPr>
        <w:t>评委提出真实工作场景中可能遇到的问题，选手提出解决方案；评委结合选手陈述自由提问。</w:t>
      </w:r>
    </w:p>
    <w:p w14:paraId="73D7C8B4">
      <w:pPr>
        <w:widowControl/>
        <w:kinsoku/>
        <w:autoSpaceDE/>
        <w:autoSpaceDN/>
        <w:spacing w:line="336" w:lineRule="auto"/>
        <w:ind w:firstLine="640" w:firstLineChars="200"/>
        <w:jc w:val="both"/>
        <w:textAlignment w:val="auto"/>
        <w:rPr>
          <w:rFonts w:ascii="Times New Roman" w:hAnsi="Times New Roman" w:eastAsia="仿宋_GB2312" w:cs="仿宋_GB2312"/>
          <w:snapToGrid/>
          <w:kern w:val="2"/>
          <w:sz w:val="32"/>
          <w:szCs w:val="22"/>
          <w:lang w:val="en-US" w:eastAsia="zh-CN" w:bidi="ar-SA"/>
        </w:rPr>
      </w:pPr>
      <w:r>
        <w:rPr>
          <w:rFonts w:hint="eastAsia" w:ascii="Times New Roman" w:hAnsi="Times New Roman" w:eastAsia="楷体_GB2312" w:cs="仿宋_GB2312"/>
          <w:snapToGrid/>
          <w:kern w:val="2"/>
          <w:sz w:val="32"/>
          <w:szCs w:val="22"/>
          <w:lang w:val="en-US" w:eastAsia="zh-CN" w:bidi="ar-SA"/>
        </w:rPr>
        <w:t>（三）天降offer（2分钟）</w:t>
      </w:r>
      <w:r>
        <w:rPr>
          <w:rFonts w:hint="eastAsia" w:ascii="楷体_GB2312" w:hAnsi="Times New Roman" w:eastAsia="楷体_GB2312" w:cs="仿宋_GB2312"/>
          <w:snapToGrid/>
          <w:kern w:val="2"/>
          <w:sz w:val="32"/>
          <w:szCs w:val="22"/>
          <w:lang w:val="en-US" w:eastAsia="zh-CN" w:bidi="ar-SA"/>
        </w:rPr>
        <w:t>：</w:t>
      </w:r>
      <w:r>
        <w:rPr>
          <w:rFonts w:hint="eastAsia" w:ascii="Times New Roman" w:hAnsi="Times New Roman" w:eastAsia="仿宋_GB2312" w:cs="仿宋_GB2312"/>
          <w:snapToGrid/>
          <w:kern w:val="2"/>
          <w:sz w:val="32"/>
          <w:szCs w:val="22"/>
          <w:lang w:val="en-US" w:eastAsia="zh-CN" w:bidi="ar-SA"/>
        </w:rPr>
        <w:t>用人单位根据选手表现，决定是否给出录用意向。</w:t>
      </w:r>
    </w:p>
    <w:p w14:paraId="3604BCE4">
      <w:pPr>
        <w:widowControl w:val="0"/>
        <w:numPr>
          <w:ilvl w:val="0"/>
          <w:numId w:val="1"/>
        </w:numPr>
        <w:kinsoku/>
        <w:autoSpaceDE/>
        <w:autoSpaceDN/>
        <w:spacing w:line="336" w:lineRule="auto"/>
        <w:ind w:firstLine="640" w:firstLineChars="200"/>
        <w:jc w:val="both"/>
        <w:textAlignment w:val="auto"/>
        <w:rPr>
          <w:rFonts w:ascii="Times New Roman" w:hAnsi="Times New Roman" w:eastAsia="黑体" w:cs="仿宋_GB2312"/>
          <w:bCs/>
          <w:snapToGrid/>
          <w:color w:val="000000"/>
          <w:kern w:val="2"/>
          <w:sz w:val="32"/>
          <w:szCs w:val="32"/>
          <w:lang w:val="en-US" w:eastAsia="zh-CN" w:bidi="ar-SA"/>
        </w:rPr>
      </w:pPr>
      <w:r>
        <w:rPr>
          <w:rFonts w:hint="eastAsia" w:ascii="Times New Roman" w:hAnsi="Times New Roman" w:eastAsia="黑体" w:cs="仿宋_GB2312"/>
          <w:bCs/>
          <w:snapToGrid/>
          <w:color w:val="000000"/>
          <w:kern w:val="2"/>
          <w:sz w:val="32"/>
          <w:szCs w:val="32"/>
          <w:lang w:val="en-US" w:eastAsia="zh-CN" w:bidi="ar-SA"/>
        </w:rPr>
        <w:t>评审标准</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20"/>
        <w:gridCol w:w="6104"/>
        <w:gridCol w:w="802"/>
      </w:tblGrid>
      <w:tr w14:paraId="59D7F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1420" w:type="dxa"/>
            <w:vAlign w:val="center"/>
          </w:tcPr>
          <w:p w14:paraId="39071A0C">
            <w:pPr>
              <w:widowControl w:val="0"/>
              <w:kinsoku/>
              <w:autoSpaceDE/>
              <w:autoSpaceDN/>
              <w:spacing w:line="240" w:lineRule="auto"/>
              <w:ind w:firstLine="0" w:firstLineChars="0"/>
              <w:jc w:val="center"/>
              <w:textAlignment w:val="auto"/>
              <w:rPr>
                <w:rFonts w:hint="default" w:ascii="仿宋_GB2312" w:hAnsi="仿宋_GB2312" w:eastAsia="仿宋_GB2312" w:cs="仿宋_GB2312"/>
                <w:b/>
                <w:bCs/>
                <w:snapToGrid/>
                <w:color w:val="000000"/>
                <w:kern w:val="2"/>
                <w:sz w:val="28"/>
                <w:szCs w:val="28"/>
                <w:lang w:val="en-US" w:eastAsia="zh-CN" w:bidi="ar-SA"/>
              </w:rPr>
            </w:pPr>
            <w:r>
              <w:rPr>
                <w:rFonts w:hint="default" w:ascii="仿宋_GB2312" w:hAnsi="仿宋_GB2312" w:eastAsia="仿宋_GB2312" w:cs="仿宋_GB2312"/>
                <w:b/>
                <w:bCs/>
                <w:snapToGrid/>
                <w:color w:val="000000"/>
                <w:kern w:val="2"/>
                <w:sz w:val="28"/>
                <w:szCs w:val="28"/>
                <w:lang w:val="en-US" w:eastAsia="zh-CN" w:bidi="ar-SA"/>
              </w:rPr>
              <w:t>指标</w:t>
            </w:r>
          </w:p>
        </w:tc>
        <w:tc>
          <w:tcPr>
            <w:tcW w:w="6104" w:type="dxa"/>
            <w:vAlign w:val="center"/>
          </w:tcPr>
          <w:p w14:paraId="7CEFEE74">
            <w:pPr>
              <w:widowControl w:val="0"/>
              <w:kinsoku/>
              <w:autoSpaceDE/>
              <w:autoSpaceDN/>
              <w:spacing w:line="240" w:lineRule="auto"/>
              <w:ind w:firstLine="0" w:firstLineChars="0"/>
              <w:jc w:val="center"/>
              <w:textAlignment w:val="auto"/>
              <w:rPr>
                <w:rFonts w:hint="default" w:ascii="仿宋_GB2312" w:hAnsi="仿宋_GB2312" w:eastAsia="仿宋_GB2312" w:cs="仿宋_GB2312"/>
                <w:b/>
                <w:bCs/>
                <w:snapToGrid/>
                <w:color w:val="000000"/>
                <w:kern w:val="2"/>
                <w:sz w:val="28"/>
                <w:szCs w:val="28"/>
                <w:lang w:val="en-US" w:eastAsia="zh-CN" w:bidi="ar-SA"/>
              </w:rPr>
            </w:pPr>
            <w:r>
              <w:rPr>
                <w:rFonts w:hint="default" w:ascii="仿宋_GB2312" w:hAnsi="仿宋_GB2312" w:eastAsia="仿宋_GB2312" w:cs="仿宋_GB2312"/>
                <w:b/>
                <w:bCs/>
                <w:snapToGrid/>
                <w:color w:val="000000"/>
                <w:kern w:val="2"/>
                <w:sz w:val="28"/>
                <w:szCs w:val="28"/>
                <w:lang w:val="en-US" w:eastAsia="zh-CN" w:bidi="ar-SA"/>
              </w:rPr>
              <w:t>说明</w:t>
            </w:r>
          </w:p>
        </w:tc>
        <w:tc>
          <w:tcPr>
            <w:tcW w:w="802" w:type="dxa"/>
            <w:vAlign w:val="center"/>
          </w:tcPr>
          <w:p w14:paraId="27799D4C">
            <w:pPr>
              <w:widowControl w:val="0"/>
              <w:kinsoku/>
              <w:autoSpaceDE/>
              <w:autoSpaceDN/>
              <w:spacing w:line="240" w:lineRule="auto"/>
              <w:ind w:firstLine="0" w:firstLineChars="0"/>
              <w:jc w:val="center"/>
              <w:textAlignment w:val="auto"/>
              <w:rPr>
                <w:rFonts w:hint="default" w:ascii="仿宋_GB2312" w:hAnsi="仿宋_GB2312" w:eastAsia="仿宋_GB2312" w:cs="仿宋_GB2312"/>
                <w:b/>
                <w:bCs/>
                <w:snapToGrid/>
                <w:color w:val="000000"/>
                <w:kern w:val="2"/>
                <w:sz w:val="28"/>
                <w:szCs w:val="28"/>
                <w:lang w:val="en-US" w:eastAsia="zh-CN" w:bidi="ar-SA"/>
              </w:rPr>
            </w:pPr>
            <w:r>
              <w:rPr>
                <w:rFonts w:hint="default" w:ascii="仿宋_GB2312" w:hAnsi="仿宋_GB2312" w:eastAsia="仿宋_GB2312" w:cs="仿宋_GB2312"/>
                <w:b/>
                <w:bCs/>
                <w:snapToGrid/>
                <w:color w:val="000000"/>
                <w:kern w:val="2"/>
                <w:sz w:val="28"/>
                <w:szCs w:val="28"/>
                <w:lang w:val="en-US" w:eastAsia="zh-CN" w:bidi="ar-SA"/>
              </w:rPr>
              <w:t>分值</w:t>
            </w:r>
          </w:p>
        </w:tc>
      </w:tr>
      <w:tr w14:paraId="6C320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0" w:hRule="atLeast"/>
        </w:trPr>
        <w:tc>
          <w:tcPr>
            <w:tcW w:w="1420" w:type="dxa"/>
            <w:vMerge w:val="restart"/>
            <w:vAlign w:val="center"/>
          </w:tcPr>
          <w:p w14:paraId="075C997F">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职业目标</w:t>
            </w:r>
          </w:p>
        </w:tc>
        <w:tc>
          <w:tcPr>
            <w:tcW w:w="6104" w:type="dxa"/>
            <w:vAlign w:val="center"/>
          </w:tcPr>
          <w:p w14:paraId="15C1DFD5">
            <w:pPr>
              <w:widowControl w:val="0"/>
              <w:kinsoku/>
              <w:autoSpaceDE/>
              <w:autoSpaceDN/>
              <w:spacing w:line="240" w:lineRule="auto"/>
              <w:ind w:firstLine="0" w:firstLineChars="0"/>
              <w:jc w:val="left"/>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能够结合就业市场需求和个人所学专业、能力及兴趣等特点，合理设定职业目标</w:t>
            </w:r>
          </w:p>
        </w:tc>
        <w:tc>
          <w:tcPr>
            <w:tcW w:w="802" w:type="dxa"/>
            <w:vMerge w:val="restart"/>
            <w:vAlign w:val="center"/>
          </w:tcPr>
          <w:p w14:paraId="1819B566">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eastAsia" w:ascii="仿宋_GB2312" w:hAnsi="仿宋_GB2312" w:eastAsia="仿宋_GB2312" w:cs="仿宋_GB2312"/>
                <w:snapToGrid/>
                <w:color w:val="000000"/>
                <w:kern w:val="2"/>
                <w:sz w:val="28"/>
                <w:szCs w:val="28"/>
                <w:lang w:val="en-US" w:eastAsia="zh-CN" w:bidi="ar-SA"/>
              </w:rPr>
              <w:t>10</w:t>
            </w:r>
          </w:p>
        </w:tc>
      </w:tr>
      <w:tr w14:paraId="7A780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0" w:hRule="atLeast"/>
        </w:trPr>
        <w:tc>
          <w:tcPr>
            <w:tcW w:w="1420" w:type="dxa"/>
            <w:vMerge w:val="continue"/>
          </w:tcPr>
          <w:p w14:paraId="23C1E441">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p>
        </w:tc>
        <w:tc>
          <w:tcPr>
            <w:tcW w:w="6104" w:type="dxa"/>
            <w:vAlign w:val="center"/>
          </w:tcPr>
          <w:p w14:paraId="6D618A84">
            <w:pPr>
              <w:widowControl w:val="0"/>
              <w:kinsoku/>
              <w:autoSpaceDE/>
              <w:autoSpaceDN/>
              <w:spacing w:line="240" w:lineRule="auto"/>
              <w:ind w:firstLine="0" w:firstLineChars="0"/>
              <w:jc w:val="left"/>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深入调研并准确把握目标职业的任职要求、工作内容、基本流程和发展路径等</w:t>
            </w:r>
          </w:p>
        </w:tc>
        <w:tc>
          <w:tcPr>
            <w:tcW w:w="802" w:type="dxa"/>
            <w:vMerge w:val="continue"/>
            <w:vAlign w:val="center"/>
          </w:tcPr>
          <w:p w14:paraId="36B38C84">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p>
        </w:tc>
      </w:tr>
      <w:tr w14:paraId="60987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0" w:hRule="atLeast"/>
        </w:trPr>
        <w:tc>
          <w:tcPr>
            <w:tcW w:w="1420" w:type="dxa"/>
            <w:vMerge w:val="restart"/>
            <w:vAlign w:val="top"/>
          </w:tcPr>
          <w:p w14:paraId="6522245D">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岗位</w:t>
            </w:r>
          </w:p>
          <w:p w14:paraId="0DA38C5E">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胜任力</w:t>
            </w:r>
          </w:p>
        </w:tc>
        <w:tc>
          <w:tcPr>
            <w:tcW w:w="6104" w:type="dxa"/>
            <w:vAlign w:val="center"/>
          </w:tcPr>
          <w:p w14:paraId="61340C38">
            <w:pPr>
              <w:widowControl w:val="0"/>
              <w:kinsoku/>
              <w:autoSpaceDE/>
              <w:autoSpaceDN/>
              <w:spacing w:line="240" w:lineRule="auto"/>
              <w:ind w:firstLine="0" w:firstLineChars="0"/>
              <w:jc w:val="left"/>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具备目标岗位所需综合素质，如思维认知、沟通协作能力和执行力等，具有敬业奉献的职业精神</w:t>
            </w:r>
          </w:p>
        </w:tc>
        <w:tc>
          <w:tcPr>
            <w:tcW w:w="802" w:type="dxa"/>
            <w:vAlign w:val="center"/>
          </w:tcPr>
          <w:p w14:paraId="761E596C">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40</w:t>
            </w:r>
          </w:p>
        </w:tc>
      </w:tr>
      <w:tr w14:paraId="03055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0" w:hRule="atLeast"/>
        </w:trPr>
        <w:tc>
          <w:tcPr>
            <w:tcW w:w="1420" w:type="dxa"/>
            <w:vMerge w:val="continue"/>
          </w:tcPr>
          <w:p w14:paraId="780ED699">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p>
        </w:tc>
        <w:tc>
          <w:tcPr>
            <w:tcW w:w="6104" w:type="dxa"/>
            <w:vAlign w:val="center"/>
          </w:tcPr>
          <w:p w14:paraId="08E046EE">
            <w:pPr>
              <w:widowControl w:val="0"/>
              <w:kinsoku/>
              <w:autoSpaceDE/>
              <w:autoSpaceDN/>
              <w:spacing w:line="240" w:lineRule="auto"/>
              <w:ind w:firstLine="0" w:firstLineChars="0"/>
              <w:jc w:val="left"/>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具备目标岗位所需专业知识和技能要求，有相关实习实践经历，具备解决实际问题的专业能力</w:t>
            </w:r>
          </w:p>
        </w:tc>
        <w:tc>
          <w:tcPr>
            <w:tcW w:w="802" w:type="dxa"/>
            <w:vAlign w:val="center"/>
          </w:tcPr>
          <w:p w14:paraId="5E0E2B64">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40</w:t>
            </w:r>
          </w:p>
        </w:tc>
      </w:tr>
      <w:tr w14:paraId="10BFF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55" w:hRule="atLeast"/>
        </w:trPr>
        <w:tc>
          <w:tcPr>
            <w:tcW w:w="1420" w:type="dxa"/>
            <w:vAlign w:val="center"/>
          </w:tcPr>
          <w:p w14:paraId="624FB471">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发展潜力</w:t>
            </w:r>
          </w:p>
        </w:tc>
        <w:tc>
          <w:tcPr>
            <w:tcW w:w="6104" w:type="dxa"/>
            <w:vAlign w:val="center"/>
          </w:tcPr>
          <w:p w14:paraId="17012492">
            <w:pPr>
              <w:widowControl w:val="0"/>
              <w:kinsoku/>
              <w:autoSpaceDE/>
              <w:autoSpaceDN/>
              <w:spacing w:line="240" w:lineRule="auto"/>
              <w:ind w:firstLine="0" w:firstLineChars="0"/>
              <w:jc w:val="left"/>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具备持续学习能力、创新精神和应对不确定性挑战的潜质，适应未来职业发展要求和就业市场需要</w:t>
            </w:r>
          </w:p>
        </w:tc>
        <w:tc>
          <w:tcPr>
            <w:tcW w:w="802" w:type="dxa"/>
            <w:vAlign w:val="center"/>
          </w:tcPr>
          <w:p w14:paraId="273B6A58">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default" w:ascii="仿宋_GB2312" w:hAnsi="仿宋_GB2312" w:eastAsia="仿宋_GB2312" w:cs="仿宋_GB2312"/>
                <w:snapToGrid/>
                <w:color w:val="000000"/>
                <w:kern w:val="2"/>
                <w:sz w:val="28"/>
                <w:szCs w:val="28"/>
                <w:lang w:val="en-US" w:eastAsia="zh-CN" w:bidi="ar-SA"/>
              </w:rPr>
              <w:t>10</w:t>
            </w:r>
          </w:p>
        </w:tc>
      </w:tr>
      <w:tr w14:paraId="6055A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7" w:hRule="atLeast"/>
        </w:trPr>
        <w:tc>
          <w:tcPr>
            <w:tcW w:w="1420" w:type="dxa"/>
            <w:vAlign w:val="center"/>
          </w:tcPr>
          <w:p w14:paraId="42AB58A2">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eastAsia" w:ascii="仿宋_GB2312" w:hAnsi="仿宋_GB2312" w:eastAsia="仿宋_GB2312" w:cs="仿宋_GB2312"/>
                <w:b/>
                <w:bCs/>
                <w:snapToGrid/>
                <w:color w:val="000000"/>
                <w:kern w:val="2"/>
                <w:sz w:val="28"/>
                <w:szCs w:val="28"/>
                <w:lang w:val="en-US" w:eastAsia="zh-CN" w:bidi="ar-SA"/>
              </w:rPr>
              <w:t>总分</w:t>
            </w:r>
          </w:p>
        </w:tc>
        <w:tc>
          <w:tcPr>
            <w:tcW w:w="6104" w:type="dxa"/>
            <w:vAlign w:val="center"/>
          </w:tcPr>
          <w:p w14:paraId="3C25ED14">
            <w:pPr>
              <w:widowControl w:val="0"/>
              <w:kinsoku/>
              <w:autoSpaceDE/>
              <w:autoSpaceDN/>
              <w:spacing w:line="240" w:lineRule="auto"/>
              <w:ind w:firstLine="0" w:firstLineChars="0"/>
              <w:jc w:val="left"/>
              <w:textAlignment w:val="auto"/>
              <w:rPr>
                <w:rFonts w:hint="default" w:ascii="仿宋_GB2312" w:hAnsi="仿宋_GB2312" w:eastAsia="仿宋_GB2312" w:cs="仿宋_GB2312"/>
                <w:snapToGrid/>
                <w:color w:val="000000"/>
                <w:kern w:val="2"/>
                <w:sz w:val="28"/>
                <w:szCs w:val="28"/>
                <w:lang w:val="en-US" w:eastAsia="zh-CN" w:bidi="ar-SA"/>
              </w:rPr>
            </w:pPr>
          </w:p>
        </w:tc>
        <w:tc>
          <w:tcPr>
            <w:tcW w:w="802" w:type="dxa"/>
            <w:vAlign w:val="center"/>
          </w:tcPr>
          <w:p w14:paraId="16E4072A">
            <w:pPr>
              <w:widowControl w:val="0"/>
              <w:kinsoku/>
              <w:autoSpaceDE/>
              <w:autoSpaceDN/>
              <w:spacing w:line="240" w:lineRule="auto"/>
              <w:ind w:firstLine="0" w:firstLineChars="0"/>
              <w:jc w:val="center"/>
              <w:textAlignment w:val="auto"/>
              <w:rPr>
                <w:rFonts w:hint="default" w:ascii="仿宋_GB2312" w:hAnsi="仿宋_GB2312" w:eastAsia="仿宋_GB2312" w:cs="仿宋_GB2312"/>
                <w:snapToGrid/>
                <w:color w:val="000000"/>
                <w:kern w:val="2"/>
                <w:sz w:val="28"/>
                <w:szCs w:val="28"/>
                <w:lang w:val="en-US" w:eastAsia="zh-CN" w:bidi="ar-SA"/>
              </w:rPr>
            </w:pPr>
            <w:r>
              <w:rPr>
                <w:rFonts w:hint="eastAsia" w:ascii="仿宋_GB2312" w:hAnsi="仿宋_GB2312" w:eastAsia="仿宋_GB2312" w:cs="仿宋_GB2312"/>
                <w:snapToGrid/>
                <w:color w:val="000000"/>
                <w:kern w:val="2"/>
                <w:sz w:val="28"/>
                <w:szCs w:val="28"/>
                <w:lang w:val="en-US" w:eastAsia="zh-CN" w:bidi="ar-SA"/>
              </w:rPr>
              <w:t>100</w:t>
            </w:r>
          </w:p>
        </w:tc>
      </w:tr>
    </w:tbl>
    <w:p w14:paraId="066A8F1C">
      <w:pPr>
        <w:widowControl w:val="0"/>
        <w:numPr>
          <w:ilvl w:val="0"/>
          <w:numId w:val="1"/>
        </w:numPr>
        <w:kinsoku/>
        <w:autoSpaceDE/>
        <w:autoSpaceDN/>
        <w:spacing w:before="326" w:beforeLines="75" w:line="336" w:lineRule="auto"/>
        <w:ind w:firstLine="640" w:firstLineChars="200"/>
        <w:jc w:val="both"/>
        <w:textAlignment w:val="auto"/>
        <w:rPr>
          <w:rFonts w:ascii="Times New Roman" w:hAnsi="Times New Roman" w:eastAsia="黑体" w:cs="仿宋_GB2312"/>
          <w:bCs/>
          <w:snapToGrid/>
          <w:color w:val="000000"/>
          <w:kern w:val="2"/>
          <w:sz w:val="32"/>
          <w:szCs w:val="32"/>
          <w:lang w:val="en-US" w:eastAsia="zh-CN" w:bidi="ar-SA"/>
        </w:rPr>
      </w:pPr>
      <w:r>
        <w:rPr>
          <w:rFonts w:hint="eastAsia" w:ascii="Times New Roman" w:hAnsi="Times New Roman" w:eastAsia="黑体" w:cs="仿宋_GB2312"/>
          <w:bCs/>
          <w:snapToGrid/>
          <w:color w:val="000000"/>
          <w:kern w:val="2"/>
          <w:sz w:val="32"/>
          <w:szCs w:val="32"/>
          <w:lang w:val="en-US" w:eastAsia="zh-CN" w:bidi="ar-SA"/>
        </w:rPr>
        <w:t>奖项设置</w:t>
      </w:r>
    </w:p>
    <w:p w14:paraId="0D245A09">
      <w:pPr>
        <w:widowControl/>
        <w:numPr>
          <w:ilvl w:val="0"/>
          <w:numId w:val="0"/>
        </w:numPr>
        <w:kinsoku/>
        <w:autoSpaceDE/>
        <w:autoSpaceDN/>
        <w:spacing w:line="336" w:lineRule="auto"/>
        <w:ind w:firstLine="640" w:firstLineChars="200"/>
        <w:jc w:val="both"/>
        <w:textAlignment w:val="auto"/>
      </w:pPr>
      <w:r>
        <w:rPr>
          <w:rFonts w:hint="eastAsia" w:ascii="Times New Roman" w:hAnsi="Times New Roman" w:eastAsia="仿宋_GB2312" w:cs="仿宋_GB2312"/>
          <w:snapToGrid/>
          <w:color w:val="000000"/>
          <w:kern w:val="2"/>
          <w:sz w:val="32"/>
          <w:szCs w:val="32"/>
          <w:lang w:val="en-US" w:eastAsia="zh-CN" w:bidi="ar-SA"/>
        </w:rPr>
        <w:t>就业赛道校决赛设置特等奖（奖金6000元）、金奖（奖金2000元）、银奖（奖金1000元）、铜奖，以及优秀指导教师等奖项。</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F3F99E7-7AD5-45C8-8D62-A65A1586DC9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E8B7EC3-F192-4990-B850-238B27A9DAA7}"/>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0E441859-63CC-45FC-B4BE-83369C7BB8CD}"/>
  </w:font>
  <w:font w:name="仿宋_GB2312">
    <w:altName w:val="仿宋"/>
    <w:panose1 w:val="02010609030101010101"/>
    <w:charset w:val="86"/>
    <w:family w:val="modern"/>
    <w:pitch w:val="default"/>
    <w:sig w:usb0="00000000" w:usb1="00000000" w:usb2="00000000" w:usb3="00000000" w:csb0="00040000" w:csb1="00000000"/>
    <w:embedRegular r:id="rId4" w:fontKey="{EA84DB3A-2E3A-489D-9A71-5D68A466BAB5}"/>
  </w:font>
  <w:font w:name="楷体_GB2312">
    <w:altName w:val="楷体"/>
    <w:panose1 w:val="02010609030101010101"/>
    <w:charset w:val="86"/>
    <w:family w:val="modern"/>
    <w:pitch w:val="default"/>
    <w:sig w:usb0="00000000" w:usb1="00000000" w:usb2="00000000" w:usb3="00000000" w:csb0="00040000" w:csb1="00000000"/>
    <w:embedRegular r:id="rId5" w:fontKey="{58E0CC47-3F93-4140-9E0A-2C2B02D3708D}"/>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F6512C"/>
    <w:multiLevelType w:val="singleLevel"/>
    <w:tmpl w:val="82F6512C"/>
    <w:lvl w:ilvl="0" w:tentative="0">
      <w:start w:val="1"/>
      <w:numFmt w:val="chineseCounting"/>
      <w:suff w:val="nothing"/>
      <w:lvlText w:val="（%1）"/>
      <w:lvlJc w:val="left"/>
      <w:pPr>
        <w:ind w:left="0" w:firstLine="420"/>
      </w:pPr>
      <w:rPr>
        <w:rFonts w:hint="eastAsia"/>
      </w:rPr>
    </w:lvl>
  </w:abstractNum>
  <w:abstractNum w:abstractNumId="1">
    <w:nsid w:val="8CC80081"/>
    <w:multiLevelType w:val="singleLevel"/>
    <w:tmpl w:val="8CC80081"/>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2E03FA"/>
    <w:rsid w:val="122E03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2025-11-03T03:38:00Z</dcterms:created>
  <dc:creator>芳年华月</dc:creator>
  <cp:lastModifiedBy>芳年华月</cp:lastModifiedBy>
  <dcterms:modified xsi:type="dcterms:W3CDTF">2025-11-03T03:39:23Z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1DEBB5B12A1B46BD9A3D6354FD9E3DDD_11</vt:lpwstr>
  </property>
  <property fmtid="{D5CDD505-2E9C-101B-9397-08002B2CF9AE}" pid="4" name="KSOTemplateDocerSaveRecord">
    <vt:lpwstr>eyJoZGlkIjoiZGEyMzc0NzE4ZmE4NGEwYjU0M2Q5NTY4MWYwN2MxZTYiLCJ1c2VySWQiOiI0NTA3ODY2NTEifQ==</vt:lpwstr>
  </property>
</Properties>
</file>